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D6743">
      <w:pPr>
        <w:keepNext w:val="0"/>
        <w:keepLines w:val="0"/>
        <w:pageBreakBefore w:val="0"/>
        <w:widowControl/>
        <w:shd w:val="solid" w:color="FFFFFF" w:fill="auto"/>
        <w:kinsoku/>
        <w:wordWrap/>
        <w:overflowPunct/>
        <w:topLinePunct w:val="0"/>
        <w:autoSpaceDE/>
        <w:autoSpaceDN w:val="0"/>
        <w:bidi w:val="0"/>
        <w:adjustRightInd w:val="0"/>
        <w:snapToGrid/>
        <w:spacing w:before="0" w:beforeLines="0" w:afterLines="0" w:line="620" w:lineRule="exact"/>
        <w:jc w:val="left"/>
        <w:textAlignment w:val="auto"/>
        <w:outlineLvl w:val="9"/>
        <w:rPr>
          <w:rFonts w:hint="eastAsia" w:ascii="仿宋_GB2312" w:hAnsi="仿宋_GB2312" w:eastAsia="仿宋_GB2312" w:cs="仿宋_GB2312"/>
          <w:b w:val="0"/>
          <w:bCs w:val="0"/>
          <w:i w:val="0"/>
          <w:snapToGrid/>
          <w:color w:val="auto"/>
          <w:spacing w:val="-12"/>
          <w:sz w:val="32"/>
          <w:szCs w:val="32"/>
          <w:highlight w:val="none"/>
          <w:u w:val="none"/>
          <w:shd w:val="clear" w:color="auto" w:fill="FFFFFF"/>
          <w:lang w:val="en-US" w:eastAsia="zh-CN" w:bidi="ar"/>
        </w:rPr>
      </w:pPr>
      <w:r>
        <w:rPr>
          <w:rFonts w:hint="eastAsia" w:ascii="仿宋_GB2312" w:hAnsi="仿宋_GB2312" w:eastAsia="仿宋_GB2312" w:cs="仿宋_GB2312"/>
          <w:b w:val="0"/>
          <w:bCs w:val="0"/>
          <w:i w:val="0"/>
          <w:snapToGrid/>
          <w:color w:val="auto"/>
          <w:spacing w:val="-12"/>
          <w:sz w:val="32"/>
          <w:szCs w:val="32"/>
          <w:highlight w:val="none"/>
          <w:u w:val="none"/>
          <w:shd w:val="clear" w:color="auto" w:fill="FFFFFF"/>
          <w:lang w:val="en-US" w:eastAsia="zh-CN" w:bidi="ar"/>
        </w:rPr>
        <w:t>附件3：合同协议范本</w:t>
      </w:r>
    </w:p>
    <w:p w14:paraId="51C0A41B">
      <w:pPr>
        <w:pStyle w:val="2"/>
        <w:rPr>
          <w:rFonts w:hint="eastAsia"/>
          <w:lang w:val="en-US" w:eastAsia="zh-CN"/>
        </w:rPr>
      </w:pPr>
    </w:p>
    <w:p w14:paraId="3E8FCE24">
      <w:pPr>
        <w:shd w:val="clear" w:color="auto" w:fill="auto"/>
        <w:spacing w:line="620" w:lineRule="exact"/>
        <w:jc w:val="center"/>
        <w:rPr>
          <w:rFonts w:hint="default" w:ascii="黑体" w:hAnsi="黑体" w:eastAsia="黑体" w:cs="黑体"/>
          <w:spacing w:val="-12"/>
          <w:kern w:val="0"/>
          <w:sz w:val="32"/>
          <w:szCs w:val="32"/>
          <w:highlight w:val="none"/>
        </w:rPr>
      </w:pPr>
      <w:r>
        <w:rPr>
          <w:rFonts w:hint="eastAsia" w:ascii="黑体" w:hAnsi="黑体" w:eastAsia="黑体" w:cs="黑体"/>
          <w:spacing w:val="-12"/>
          <w:kern w:val="0"/>
          <w:sz w:val="32"/>
          <w:szCs w:val="32"/>
          <w:highlight w:val="none"/>
          <w:lang w:val="en-US" w:eastAsia="zh-CN"/>
        </w:rPr>
        <w:t xml:space="preserve"> </w:t>
      </w:r>
      <w:r>
        <w:rPr>
          <w:rFonts w:ascii="黑体" w:hAnsi="黑体" w:eastAsia="黑体" w:cs="黑体"/>
          <w:spacing w:val="-12"/>
          <w:kern w:val="0"/>
          <w:sz w:val="32"/>
          <w:szCs w:val="32"/>
          <w:highlight w:val="none"/>
        </w:rPr>
        <w:t>广州银行委托律师代理合同</w:t>
      </w:r>
    </w:p>
    <w:p w14:paraId="67F08DFC">
      <w:pPr>
        <w:shd w:val="clear" w:color="auto" w:fill="auto"/>
        <w:snapToGrid w:val="0"/>
        <w:spacing w:line="360" w:lineRule="auto"/>
        <w:ind w:firstLine="840" w:firstLineChars="300"/>
        <w:contextualSpacing/>
        <w:rPr>
          <w:rFonts w:hint="default" w:ascii="仿宋_GB2312" w:eastAsia="仿宋_GB2312"/>
          <w:sz w:val="28"/>
          <w:highlight w:val="none"/>
        </w:rPr>
      </w:pPr>
    </w:p>
    <w:p w14:paraId="04D0A028">
      <w:pPr>
        <w:pStyle w:val="3"/>
        <w:shd w:val="clear" w:color="auto" w:fill="auto"/>
        <w:spacing w:line="400" w:lineRule="exact"/>
        <w:rPr>
          <w:rFonts w:hint="default" w:ascii="仿宋" w:hAnsi="仿宋" w:eastAsia="仿宋" w:cs="仿宋"/>
          <w:b w:val="0"/>
          <w:bCs w:val="0"/>
          <w:spacing w:val="-12"/>
          <w:sz w:val="24"/>
          <w:szCs w:val="24"/>
          <w:highlight w:val="none"/>
        </w:rPr>
      </w:pPr>
      <w:r>
        <w:rPr>
          <w:rFonts w:ascii="仿宋" w:hAnsi="仿宋" w:eastAsia="仿宋" w:cs="仿宋"/>
          <w:b w:val="0"/>
          <w:bCs w:val="0"/>
          <w:spacing w:val="-12"/>
          <w:sz w:val="24"/>
          <w:szCs w:val="24"/>
          <w:highlight w:val="none"/>
        </w:rPr>
        <w:t xml:space="preserve">委托方（以下简称甲方）：         </w:t>
      </w:r>
    </w:p>
    <w:p w14:paraId="63FEA62B">
      <w:pPr>
        <w:shd w:val="clear" w:color="auto" w:fill="auto"/>
        <w:autoSpaceDE w:val="0"/>
        <w:autoSpaceDN w:val="0"/>
        <w:adjustRightInd w:val="0"/>
        <w:spacing w:line="400" w:lineRule="exact"/>
        <w:rPr>
          <w:rFonts w:hint="default" w:ascii="仿宋" w:hAnsi="仿宋" w:eastAsia="仿宋" w:cs="仿宋"/>
          <w:b w:val="0"/>
          <w:bCs w:val="0"/>
          <w:spacing w:val="-12"/>
          <w:sz w:val="24"/>
          <w:szCs w:val="24"/>
          <w:highlight w:val="none"/>
        </w:rPr>
      </w:pPr>
      <w:r>
        <w:rPr>
          <w:rFonts w:ascii="仿宋" w:hAnsi="仿宋" w:eastAsia="仿宋" w:cs="仿宋"/>
          <w:b w:val="0"/>
          <w:bCs w:val="0"/>
          <w:spacing w:val="-12"/>
          <w:sz w:val="24"/>
          <w:szCs w:val="24"/>
          <w:highlight w:val="none"/>
        </w:rPr>
        <w:t>地址：</w:t>
      </w:r>
    </w:p>
    <w:p w14:paraId="081C7CCE">
      <w:pPr>
        <w:pStyle w:val="2"/>
        <w:shd w:val="clear" w:color="auto" w:fill="auto"/>
        <w:rPr>
          <w:rFonts w:hint="default"/>
          <w:highlight w:val="none"/>
        </w:rPr>
      </w:pPr>
    </w:p>
    <w:p w14:paraId="3563D096">
      <w:pPr>
        <w:pStyle w:val="3"/>
        <w:shd w:val="clear" w:color="auto" w:fill="auto"/>
        <w:spacing w:line="400" w:lineRule="exact"/>
        <w:rPr>
          <w:rFonts w:hint="eastAsia" w:ascii="仿宋" w:hAnsi="仿宋" w:eastAsia="仿宋" w:cs="仿宋"/>
          <w:b w:val="0"/>
          <w:bCs w:val="0"/>
          <w:spacing w:val="-12"/>
          <w:sz w:val="24"/>
          <w:szCs w:val="24"/>
          <w:highlight w:val="none"/>
          <w:lang w:eastAsia="zh-CN"/>
        </w:rPr>
      </w:pPr>
      <w:r>
        <w:rPr>
          <w:rFonts w:ascii="仿宋" w:hAnsi="仿宋" w:eastAsia="仿宋" w:cs="仿宋"/>
          <w:b w:val="0"/>
          <w:bCs w:val="0"/>
          <w:spacing w:val="-12"/>
          <w:sz w:val="24"/>
          <w:szCs w:val="24"/>
          <w:highlight w:val="none"/>
        </w:rPr>
        <w:t>受托方（以下简称乙方）：</w:t>
      </w:r>
    </w:p>
    <w:p w14:paraId="2EC41B76">
      <w:pPr>
        <w:shd w:val="clear" w:color="auto" w:fill="auto"/>
        <w:snapToGrid w:val="0"/>
        <w:spacing w:line="400" w:lineRule="exact"/>
        <w:contextualSpacing/>
        <w:rPr>
          <w:rFonts w:hint="eastAsia" w:ascii="仿宋" w:hAnsi="仿宋" w:eastAsia="仿宋" w:cs="仿宋"/>
          <w:b w:val="0"/>
          <w:bCs w:val="0"/>
          <w:spacing w:val="-12"/>
          <w:sz w:val="24"/>
          <w:szCs w:val="24"/>
          <w:highlight w:val="none"/>
          <w:lang w:eastAsia="zh-CN"/>
        </w:rPr>
      </w:pPr>
      <w:r>
        <w:rPr>
          <w:rFonts w:hint="eastAsia" w:ascii="仿宋" w:hAnsi="仿宋" w:eastAsia="仿宋" w:cs="仿宋"/>
          <w:b w:val="0"/>
          <w:bCs w:val="0"/>
          <w:spacing w:val="-12"/>
          <w:sz w:val="24"/>
          <w:szCs w:val="24"/>
          <w:highlight w:val="none"/>
        </w:rPr>
        <w:t>地址：</w:t>
      </w:r>
      <w:bookmarkStart w:id="0" w:name="_GoBack"/>
    </w:p>
    <w:p w14:paraId="5FA65277">
      <w:pPr>
        <w:shd w:val="clear" w:color="auto" w:fill="auto"/>
        <w:snapToGrid w:val="0"/>
        <w:spacing w:line="400" w:lineRule="exact"/>
        <w:contextualSpacing/>
        <w:rPr>
          <w:rFonts w:hint="eastAsia" w:ascii="仿宋" w:hAnsi="仿宋" w:eastAsia="仿宋" w:cs="仿宋"/>
          <w:spacing w:val="-12"/>
          <w:sz w:val="24"/>
          <w:szCs w:val="24"/>
          <w:highlight w:val="none"/>
          <w:lang w:eastAsia="zh-CN"/>
        </w:rPr>
      </w:pPr>
      <w:r>
        <w:rPr>
          <w:rFonts w:hint="eastAsia" w:ascii="仿宋" w:hAnsi="仿宋" w:eastAsia="仿宋" w:cs="仿宋"/>
          <w:b w:val="0"/>
          <w:bCs w:val="0"/>
          <w:spacing w:val="-12"/>
          <w:sz w:val="24"/>
          <w:szCs w:val="24"/>
          <w:highlight w:val="none"/>
        </w:rPr>
        <w:t>法定代表人：</w:t>
      </w:r>
    </w:p>
    <w:bookmarkEnd w:id="0"/>
    <w:p w14:paraId="27D015D2">
      <w:pPr>
        <w:shd w:val="clear" w:color="auto" w:fill="auto"/>
        <w:snapToGrid w:val="0"/>
        <w:spacing w:line="400" w:lineRule="exact"/>
        <w:contextualSpacing/>
        <w:rPr>
          <w:rFonts w:hint="default" w:ascii="仿宋" w:hAnsi="仿宋" w:eastAsia="仿宋" w:cs="仿宋"/>
          <w:spacing w:val="-12"/>
          <w:sz w:val="24"/>
          <w:szCs w:val="24"/>
          <w:highlight w:val="none"/>
        </w:rPr>
      </w:pPr>
    </w:p>
    <w:p w14:paraId="08439615">
      <w:pPr>
        <w:shd w:val="clear" w:color="auto" w:fill="auto"/>
        <w:snapToGrid w:val="0"/>
        <w:spacing w:line="400" w:lineRule="exact"/>
        <w:ind w:firstLine="432" w:firstLineChars="200"/>
        <w:contextualSpacing/>
        <w:rPr>
          <w:rFonts w:ascii="仿宋" w:hAnsi="仿宋" w:eastAsia="仿宋" w:cs="仿宋"/>
          <w:spacing w:val="-12"/>
          <w:sz w:val="24"/>
          <w:szCs w:val="24"/>
          <w:highlight w:val="none"/>
        </w:rPr>
      </w:pPr>
      <w:r>
        <w:rPr>
          <w:rFonts w:ascii="仿宋" w:hAnsi="仿宋" w:eastAsia="仿宋" w:cs="仿宋"/>
          <w:spacing w:val="-12"/>
          <w:sz w:val="24"/>
          <w:szCs w:val="24"/>
          <w:highlight w:val="none"/>
        </w:rPr>
        <w:t>鉴于甲方</w:t>
      </w:r>
      <w:r>
        <w:rPr>
          <w:rFonts w:ascii="仿宋" w:hAnsi="仿宋" w:eastAsia="仿宋" w:cs="仿宋"/>
          <w:spacing w:val="-12"/>
          <w:sz w:val="24"/>
          <w:szCs w:val="24"/>
          <w:highlight w:val="none"/>
          <w:lang w:val="zh-CN"/>
        </w:rPr>
        <w:t>处理甲方欠款纠纷案件的</w:t>
      </w:r>
      <w:r>
        <w:rPr>
          <w:rFonts w:ascii="仿宋" w:hAnsi="仿宋" w:eastAsia="仿宋" w:cs="仿宋"/>
          <w:spacing w:val="-12"/>
          <w:sz w:val="24"/>
          <w:szCs w:val="24"/>
          <w:highlight w:val="none"/>
        </w:rPr>
        <w:t>需要，甲方委托乙方作为甲方的代理人，提供法律服务，维护甲方的合法权益（以下简称“委托事项”）。为维护双方的权益、明确双方的义务，经双方协商一致，订立协议如下：</w:t>
      </w:r>
    </w:p>
    <w:p w14:paraId="0F7B3514">
      <w:pPr>
        <w:shd w:val="clear" w:color="auto" w:fill="auto"/>
        <w:snapToGrid w:val="0"/>
        <w:spacing w:line="400" w:lineRule="exact"/>
        <w:ind w:firstLine="432" w:firstLineChars="200"/>
        <w:contextualSpacing/>
        <w:rPr>
          <w:rFonts w:hint="default" w:ascii="仿宋" w:hAnsi="仿宋" w:eastAsia="仿宋" w:cs="仿宋"/>
          <w:spacing w:val="-12"/>
          <w:sz w:val="24"/>
          <w:szCs w:val="24"/>
          <w:highlight w:val="none"/>
        </w:rPr>
      </w:pPr>
    </w:p>
    <w:p w14:paraId="54488D5E">
      <w:pPr>
        <w:numPr>
          <w:ilvl w:val="0"/>
          <w:numId w:val="1"/>
        </w:numPr>
        <w:shd w:val="clear" w:color="auto" w:fill="auto"/>
        <w:snapToGrid w:val="0"/>
        <w:spacing w:line="400" w:lineRule="exact"/>
        <w:ind w:left="559" w:leftChars="266" w:firstLine="28" w:firstLineChars="13"/>
        <w:contextualSpacing/>
        <w:jc w:val="center"/>
        <w:rPr>
          <w:rFonts w:hint="default" w:ascii="仿宋" w:hAnsi="仿宋" w:eastAsia="仿宋" w:cs="仿宋"/>
          <w:b/>
          <w:bCs/>
          <w:spacing w:val="-12"/>
          <w:sz w:val="24"/>
          <w:szCs w:val="24"/>
          <w:highlight w:val="none"/>
        </w:rPr>
      </w:pPr>
      <w:r>
        <w:rPr>
          <w:rFonts w:ascii="仿宋" w:hAnsi="仿宋" w:eastAsia="仿宋" w:cs="仿宋"/>
          <w:b/>
          <w:bCs/>
          <w:spacing w:val="-12"/>
          <w:sz w:val="24"/>
          <w:szCs w:val="24"/>
          <w:highlight w:val="none"/>
        </w:rPr>
        <w:t>委托代理人</w:t>
      </w:r>
    </w:p>
    <w:p w14:paraId="416A2B35">
      <w:pPr>
        <w:shd w:val="clear" w:color="auto" w:fill="auto"/>
        <w:snapToGrid w:val="0"/>
        <w:spacing w:line="400" w:lineRule="exact"/>
        <w:ind w:left="239" w:leftChars="114" w:firstLine="216" w:firstLineChars="100"/>
        <w:contextualSpacing/>
        <w:rPr>
          <w:rFonts w:ascii="仿宋" w:hAnsi="仿宋" w:eastAsia="仿宋" w:cs="仿宋"/>
          <w:spacing w:val="-12"/>
          <w:sz w:val="24"/>
          <w:szCs w:val="24"/>
          <w:highlight w:val="none"/>
        </w:rPr>
      </w:pPr>
      <w:r>
        <w:rPr>
          <w:rFonts w:ascii="仿宋" w:hAnsi="仿宋" w:eastAsia="仿宋" w:cs="仿宋"/>
          <w:spacing w:val="-12"/>
          <w:sz w:val="24"/>
          <w:szCs w:val="24"/>
          <w:highlight w:val="none"/>
        </w:rPr>
        <w:t>甲方将委托事项委托乙方代理，乙方接受甲方的委托并指派</w:t>
      </w:r>
      <w:r>
        <w:rPr>
          <w:rFonts w:hint="eastAsia" w:ascii="仿宋" w:hAnsi="仿宋" w:eastAsia="仿宋" w:cs="仿宋"/>
          <w:spacing w:val="-12"/>
          <w:sz w:val="24"/>
          <w:szCs w:val="24"/>
          <w:highlight w:val="none"/>
          <w:u w:val="single"/>
          <w:lang w:val="en-US" w:eastAsia="zh-CN"/>
        </w:rPr>
        <w:t xml:space="preserve">       律师(律师执业证号:        ) </w:t>
      </w:r>
      <w:r>
        <w:rPr>
          <w:rFonts w:ascii="仿宋" w:hAnsi="仿宋" w:eastAsia="仿宋" w:cs="仿宋"/>
          <w:b w:val="0"/>
          <w:bCs w:val="0"/>
          <w:spacing w:val="-12"/>
          <w:sz w:val="24"/>
          <w:szCs w:val="24"/>
          <w:highlight w:val="none"/>
        </w:rPr>
        <w:t>为上述委托事项的代理人。乙方代</w:t>
      </w:r>
      <w:r>
        <w:rPr>
          <w:rFonts w:ascii="仿宋" w:hAnsi="仿宋" w:eastAsia="仿宋" w:cs="仿宋"/>
          <w:bCs/>
          <w:spacing w:val="-12"/>
          <w:sz w:val="24"/>
          <w:szCs w:val="24"/>
          <w:highlight w:val="none"/>
        </w:rPr>
        <w:t>理律师的联系方式</w:t>
      </w:r>
      <w:r>
        <w:rPr>
          <w:rFonts w:ascii="仿宋" w:hAnsi="仿宋" w:eastAsia="仿宋" w:cs="仿宋"/>
          <w:spacing w:val="-12"/>
          <w:sz w:val="24"/>
          <w:szCs w:val="24"/>
          <w:highlight w:val="none"/>
        </w:rPr>
        <w:t xml:space="preserve">详见附件一。  </w:t>
      </w:r>
    </w:p>
    <w:p w14:paraId="0A28AFDD">
      <w:pPr>
        <w:shd w:val="clear" w:color="auto" w:fill="auto"/>
        <w:snapToGrid w:val="0"/>
        <w:spacing w:line="400" w:lineRule="exact"/>
        <w:ind w:firstLine="432" w:firstLineChars="200"/>
        <w:contextualSpacing/>
        <w:rPr>
          <w:rFonts w:hint="default" w:ascii="仿宋" w:hAnsi="仿宋" w:eastAsia="仿宋" w:cs="仿宋"/>
          <w:spacing w:val="-12"/>
          <w:sz w:val="24"/>
          <w:szCs w:val="24"/>
          <w:highlight w:val="none"/>
        </w:rPr>
      </w:pPr>
    </w:p>
    <w:p w14:paraId="484C07A7">
      <w:pPr>
        <w:pStyle w:val="10"/>
        <w:shd w:val="clear" w:color="auto" w:fill="auto"/>
        <w:snapToGrid w:val="0"/>
        <w:spacing w:line="400" w:lineRule="exact"/>
        <w:ind w:right="-88" w:firstLine="425" w:firstLineChars="196"/>
        <w:contextualSpacing/>
        <w:jc w:val="center"/>
        <w:rPr>
          <w:rFonts w:ascii="仿宋" w:hAnsi="仿宋" w:eastAsia="仿宋" w:cs="仿宋"/>
          <w:b/>
          <w:spacing w:val="-12"/>
          <w:sz w:val="24"/>
          <w:highlight w:val="none"/>
        </w:rPr>
      </w:pPr>
      <w:r>
        <w:rPr>
          <w:rFonts w:hint="eastAsia" w:ascii="仿宋" w:hAnsi="仿宋" w:eastAsia="仿宋" w:cs="仿宋"/>
          <w:b/>
          <w:bCs/>
          <w:spacing w:val="-12"/>
          <w:sz w:val="24"/>
          <w:highlight w:val="none"/>
        </w:rPr>
        <w:t>二</w:t>
      </w:r>
      <w:r>
        <w:rPr>
          <w:rFonts w:hint="eastAsia" w:ascii="仿宋" w:hAnsi="仿宋" w:eastAsia="仿宋" w:cs="仿宋"/>
          <w:b/>
          <w:spacing w:val="-12"/>
          <w:sz w:val="24"/>
          <w:highlight w:val="none"/>
        </w:rPr>
        <w:t>、甲方委托乙方代理如下事项</w:t>
      </w:r>
    </w:p>
    <w:p w14:paraId="64C619D3">
      <w:pPr>
        <w:shd w:val="clear" w:color="auto" w:fill="auto"/>
        <w:snapToGrid w:val="0"/>
        <w:spacing w:line="400" w:lineRule="exact"/>
        <w:ind w:firstLine="432" w:firstLineChars="200"/>
        <w:contextualSpacing/>
        <w:rPr>
          <w:rFonts w:hint="default" w:ascii="仿宋" w:hAnsi="仿宋" w:eastAsia="仿宋" w:cs="仿宋"/>
          <w:spacing w:val="-12"/>
          <w:sz w:val="24"/>
          <w:szCs w:val="24"/>
          <w:highlight w:val="none"/>
        </w:rPr>
      </w:pPr>
      <w:r>
        <w:rPr>
          <w:rFonts w:hint="eastAsia" w:ascii="仿宋" w:hAnsi="仿宋" w:eastAsia="仿宋" w:cs="仿宋"/>
          <w:spacing w:val="-12"/>
          <w:sz w:val="24"/>
          <w:szCs w:val="24"/>
          <w:highlight w:val="none"/>
          <w:lang w:val="en-US" w:eastAsia="zh-CN"/>
        </w:rPr>
        <w:t>（一）</w:t>
      </w:r>
      <w:r>
        <w:rPr>
          <w:rFonts w:ascii="仿宋" w:hAnsi="仿宋" w:eastAsia="仿宋" w:cs="仿宋"/>
          <w:spacing w:val="-12"/>
          <w:sz w:val="24"/>
          <w:szCs w:val="24"/>
          <w:highlight w:val="none"/>
        </w:rPr>
        <w:t>向借款人、担保人追收欠款本息；</w:t>
      </w:r>
    </w:p>
    <w:p w14:paraId="29F42D71">
      <w:pPr>
        <w:shd w:val="clear" w:color="auto" w:fill="auto"/>
        <w:snapToGrid w:val="0"/>
        <w:spacing w:line="400" w:lineRule="exact"/>
        <w:ind w:firstLine="432" w:firstLineChars="200"/>
        <w:contextualSpacing/>
        <w:rPr>
          <w:rFonts w:hint="default" w:ascii="仿宋" w:hAnsi="仿宋" w:eastAsia="仿宋" w:cs="仿宋"/>
          <w:spacing w:val="-12"/>
          <w:sz w:val="24"/>
          <w:szCs w:val="24"/>
          <w:highlight w:val="none"/>
        </w:rPr>
      </w:pPr>
      <w:r>
        <w:rPr>
          <w:rFonts w:hint="eastAsia" w:ascii="仿宋" w:hAnsi="仿宋" w:eastAsia="仿宋" w:cs="仿宋"/>
          <w:spacing w:val="-12"/>
          <w:sz w:val="24"/>
          <w:szCs w:val="24"/>
          <w:highlight w:val="none"/>
          <w:lang w:eastAsia="zh-CN"/>
        </w:rPr>
        <w:t>（二）</w:t>
      </w:r>
      <w:r>
        <w:rPr>
          <w:rFonts w:ascii="仿宋" w:hAnsi="仿宋" w:eastAsia="仿宋" w:cs="仿宋"/>
          <w:spacing w:val="-12"/>
          <w:sz w:val="24"/>
          <w:szCs w:val="24"/>
          <w:highlight w:val="none"/>
        </w:rPr>
        <w:t>诉讼代理，包括委托事项的一审、二审、执行</w:t>
      </w:r>
      <w:r>
        <w:rPr>
          <w:rFonts w:hint="eastAsia" w:ascii="仿宋" w:hAnsi="仿宋" w:eastAsia="仿宋" w:cs="仿宋"/>
          <w:spacing w:val="-12"/>
          <w:sz w:val="24"/>
          <w:szCs w:val="24"/>
          <w:highlight w:val="none"/>
          <w:lang w:eastAsia="zh-CN"/>
        </w:rPr>
        <w:t>等相关诉讼程序</w:t>
      </w:r>
      <w:r>
        <w:rPr>
          <w:rFonts w:ascii="仿宋" w:hAnsi="仿宋" w:eastAsia="仿宋" w:cs="仿宋"/>
          <w:spacing w:val="-12"/>
          <w:sz w:val="24"/>
          <w:szCs w:val="24"/>
          <w:highlight w:val="none"/>
        </w:rPr>
        <w:t>。具体服务内容如下：</w:t>
      </w:r>
    </w:p>
    <w:p w14:paraId="1B1FC9B9">
      <w:pPr>
        <w:shd w:val="clear" w:color="auto" w:fill="auto"/>
        <w:snapToGrid w:val="0"/>
        <w:spacing w:line="400" w:lineRule="exact"/>
        <w:ind w:firstLine="432" w:firstLineChars="200"/>
        <w:contextualSpacing/>
        <w:rPr>
          <w:rFonts w:hint="default" w:ascii="仿宋" w:hAnsi="仿宋" w:eastAsia="仿宋" w:cs="仿宋"/>
          <w:spacing w:val="-12"/>
          <w:sz w:val="24"/>
          <w:szCs w:val="24"/>
          <w:highlight w:val="none"/>
        </w:rPr>
      </w:pPr>
      <w:r>
        <w:rPr>
          <w:rFonts w:hint="eastAsia" w:ascii="仿宋" w:hAnsi="仿宋" w:eastAsia="仿宋" w:cs="仿宋"/>
          <w:spacing w:val="-12"/>
          <w:sz w:val="24"/>
          <w:szCs w:val="24"/>
          <w:highlight w:val="none"/>
          <w:lang w:val="en-US" w:eastAsia="zh-CN"/>
        </w:rPr>
        <w:t>1、</w:t>
      </w:r>
      <w:r>
        <w:rPr>
          <w:rFonts w:ascii="仿宋" w:hAnsi="仿宋" w:eastAsia="仿宋" w:cs="仿宋"/>
          <w:spacing w:val="-12"/>
          <w:sz w:val="24"/>
          <w:szCs w:val="24"/>
          <w:highlight w:val="none"/>
        </w:rPr>
        <w:t>乙方应协助处理立案前调查、相关案件的法院诉讼相关手续、立案准备阶段，案件审理阶段，直至审判完毕及案卷的最终整理工作；</w:t>
      </w:r>
    </w:p>
    <w:p w14:paraId="1C2D508D">
      <w:pPr>
        <w:shd w:val="clear" w:color="auto" w:fill="auto"/>
        <w:snapToGrid w:val="0"/>
        <w:spacing w:line="400" w:lineRule="exact"/>
        <w:ind w:firstLine="432" w:firstLineChars="200"/>
        <w:contextualSpacing/>
        <w:rPr>
          <w:rFonts w:hint="default" w:ascii="仿宋" w:hAnsi="仿宋" w:eastAsia="仿宋" w:cs="仿宋"/>
          <w:spacing w:val="-12"/>
          <w:sz w:val="24"/>
          <w:szCs w:val="24"/>
          <w:highlight w:val="none"/>
        </w:rPr>
      </w:pPr>
      <w:r>
        <w:rPr>
          <w:rFonts w:hint="eastAsia" w:ascii="仿宋" w:hAnsi="仿宋" w:eastAsia="仿宋" w:cs="仿宋"/>
          <w:spacing w:val="-12"/>
          <w:sz w:val="24"/>
          <w:szCs w:val="24"/>
          <w:highlight w:val="none"/>
          <w:lang w:val="en-US" w:eastAsia="zh-CN"/>
        </w:rPr>
        <w:t>2、</w:t>
      </w:r>
      <w:r>
        <w:rPr>
          <w:rFonts w:ascii="仿宋" w:hAnsi="仿宋" w:eastAsia="仿宋" w:cs="仿宋"/>
          <w:spacing w:val="-12"/>
          <w:sz w:val="24"/>
          <w:szCs w:val="24"/>
          <w:highlight w:val="none"/>
        </w:rPr>
        <w:t>乙方协助甲方获取法院立案额度，协助支持全部或部分诉讼程序及非诉程序（含执行程序）并按照甲方要求完成诉讼材料的准备，主要内容如下：</w:t>
      </w:r>
    </w:p>
    <w:p w14:paraId="0017D9E5">
      <w:pPr>
        <w:shd w:val="clear" w:color="auto" w:fill="auto"/>
        <w:snapToGrid w:val="0"/>
        <w:spacing w:line="400" w:lineRule="exact"/>
        <w:ind w:firstLine="432" w:firstLineChars="200"/>
        <w:contextualSpacing/>
        <w:rPr>
          <w:rFonts w:hint="default" w:ascii="仿宋" w:hAnsi="仿宋" w:eastAsia="仿宋" w:cs="仿宋"/>
          <w:spacing w:val="-12"/>
          <w:sz w:val="24"/>
          <w:szCs w:val="24"/>
          <w:highlight w:val="none"/>
        </w:rPr>
      </w:pPr>
      <w:r>
        <w:rPr>
          <w:rFonts w:ascii="仿宋" w:hAnsi="仿宋" w:eastAsia="仿宋" w:cs="仿宋"/>
          <w:spacing w:val="-12"/>
          <w:sz w:val="24"/>
          <w:szCs w:val="24"/>
          <w:highlight w:val="none"/>
        </w:rPr>
        <w:t>立案前准备阶段：诉讼及非诉相关所有</w:t>
      </w:r>
      <w:r>
        <w:rPr>
          <w:rFonts w:hint="eastAsia" w:ascii="仿宋" w:hAnsi="仿宋" w:eastAsia="仿宋" w:cs="仿宋"/>
          <w:spacing w:val="-12"/>
          <w:sz w:val="24"/>
          <w:szCs w:val="24"/>
          <w:highlight w:val="none"/>
          <w:lang w:eastAsia="zh-CN"/>
        </w:rPr>
        <w:t>诉讼文书材料、</w:t>
      </w:r>
      <w:r>
        <w:rPr>
          <w:rFonts w:ascii="仿宋" w:hAnsi="仿宋" w:eastAsia="仿宋" w:cs="仿宋"/>
          <w:spacing w:val="-12"/>
          <w:sz w:val="24"/>
          <w:szCs w:val="24"/>
          <w:highlight w:val="none"/>
        </w:rPr>
        <w:t>证据材料的整理、准备及打印等工作；</w:t>
      </w:r>
    </w:p>
    <w:p w14:paraId="7F2FEED0">
      <w:pPr>
        <w:shd w:val="clear" w:color="auto" w:fill="auto"/>
        <w:snapToGrid w:val="0"/>
        <w:spacing w:line="400" w:lineRule="exact"/>
        <w:ind w:firstLine="432" w:firstLineChars="200"/>
        <w:contextualSpacing/>
        <w:rPr>
          <w:rFonts w:hint="default" w:ascii="仿宋" w:hAnsi="仿宋" w:eastAsia="仿宋" w:cs="仿宋"/>
          <w:spacing w:val="-12"/>
          <w:sz w:val="24"/>
          <w:szCs w:val="24"/>
          <w:highlight w:val="none"/>
        </w:rPr>
      </w:pPr>
      <w:r>
        <w:rPr>
          <w:rFonts w:ascii="仿宋" w:hAnsi="仿宋" w:eastAsia="仿宋" w:cs="仿宋"/>
          <w:spacing w:val="-12"/>
          <w:sz w:val="24"/>
          <w:szCs w:val="24"/>
          <w:highlight w:val="none"/>
        </w:rPr>
        <w:t>案件审理阶段：举证材料的准备、送达文件的整理，</w:t>
      </w:r>
      <w:r>
        <w:rPr>
          <w:rFonts w:hint="eastAsia" w:ascii="仿宋" w:hAnsi="仿宋" w:eastAsia="仿宋" w:cs="仿宋"/>
          <w:spacing w:val="-12"/>
          <w:sz w:val="24"/>
          <w:szCs w:val="24"/>
          <w:highlight w:val="none"/>
          <w:lang w:eastAsia="zh-CN"/>
        </w:rPr>
        <w:t>参加庭审并</w:t>
      </w:r>
      <w:r>
        <w:rPr>
          <w:rFonts w:ascii="仿宋" w:hAnsi="仿宋" w:eastAsia="仿宋" w:cs="仿宋"/>
          <w:spacing w:val="-12"/>
          <w:sz w:val="24"/>
          <w:szCs w:val="24"/>
          <w:highlight w:val="none"/>
        </w:rPr>
        <w:t>协助推进庭审阶段的工作等其他工作；</w:t>
      </w:r>
    </w:p>
    <w:p w14:paraId="2BC5404F">
      <w:pPr>
        <w:shd w:val="clear" w:color="auto" w:fill="auto"/>
        <w:snapToGrid w:val="0"/>
        <w:spacing w:line="400" w:lineRule="exact"/>
        <w:ind w:firstLine="432" w:firstLineChars="200"/>
        <w:contextualSpacing/>
        <w:rPr>
          <w:rFonts w:hint="default" w:ascii="仿宋" w:hAnsi="仿宋" w:eastAsia="仿宋" w:cs="仿宋"/>
          <w:spacing w:val="-12"/>
          <w:sz w:val="24"/>
          <w:szCs w:val="24"/>
          <w:highlight w:val="none"/>
        </w:rPr>
      </w:pPr>
      <w:r>
        <w:rPr>
          <w:rFonts w:ascii="仿宋" w:hAnsi="仿宋" w:eastAsia="仿宋" w:cs="仿宋"/>
          <w:spacing w:val="-12"/>
          <w:sz w:val="24"/>
          <w:szCs w:val="24"/>
          <w:highlight w:val="none"/>
        </w:rPr>
        <w:t>执行阶段：协助联系被执行人，负责与法院的沟通，协助办理、申请强制执行，加入失信被执行人名单等有关工作；</w:t>
      </w:r>
    </w:p>
    <w:p w14:paraId="2DA8342A">
      <w:pPr>
        <w:shd w:val="clear" w:color="auto" w:fill="auto"/>
        <w:snapToGrid w:val="0"/>
        <w:spacing w:line="400" w:lineRule="exact"/>
        <w:ind w:firstLine="432" w:firstLineChars="200"/>
        <w:contextualSpacing/>
        <w:rPr>
          <w:rFonts w:hint="default" w:ascii="仿宋" w:hAnsi="仿宋" w:eastAsia="仿宋" w:cs="仿宋"/>
          <w:spacing w:val="-12"/>
          <w:sz w:val="24"/>
          <w:szCs w:val="24"/>
          <w:highlight w:val="none"/>
        </w:rPr>
      </w:pPr>
      <w:r>
        <w:rPr>
          <w:rFonts w:ascii="仿宋" w:hAnsi="仿宋" w:eastAsia="仿宋" w:cs="仿宋"/>
          <w:spacing w:val="-12"/>
          <w:sz w:val="24"/>
          <w:szCs w:val="24"/>
          <w:highlight w:val="none"/>
        </w:rPr>
        <w:t>按照法院办案程序、步骤，根据甲方提供的资料和法官、书记员的要求，合规开展工作，严格规范办理；及时与承办法官、书记员进行沟通，协助办理与本合同项下案件相关的其他工作案件相关的其他工作；按照甲方时效要求通报案件进展情况并及时同步相关法律文书，具体提交形式以实际业务过程中甲方的通知为准。</w:t>
      </w:r>
    </w:p>
    <w:p w14:paraId="67AC1DAA">
      <w:pPr>
        <w:shd w:val="clear" w:color="auto" w:fill="auto"/>
        <w:snapToGrid w:val="0"/>
        <w:spacing w:line="400" w:lineRule="exact"/>
        <w:ind w:firstLine="432" w:firstLineChars="200"/>
        <w:contextualSpacing/>
        <w:rPr>
          <w:rFonts w:hint="default"/>
          <w:highlight w:val="none"/>
        </w:rPr>
      </w:pPr>
      <w:r>
        <w:rPr>
          <w:rFonts w:hint="eastAsia" w:ascii="仿宋" w:hAnsi="仿宋" w:eastAsia="仿宋" w:cs="仿宋"/>
          <w:spacing w:val="-12"/>
          <w:sz w:val="24"/>
          <w:szCs w:val="24"/>
          <w:highlight w:val="none"/>
          <w:lang w:val="en-US" w:eastAsia="zh-CN"/>
        </w:rPr>
        <w:t>（三）</w:t>
      </w:r>
      <w:r>
        <w:rPr>
          <w:rFonts w:ascii="仿宋" w:hAnsi="仿宋" w:eastAsia="仿宋" w:cs="仿宋"/>
          <w:spacing w:val="-12"/>
          <w:sz w:val="24"/>
          <w:szCs w:val="24"/>
          <w:highlight w:val="none"/>
        </w:rPr>
        <w:t>其他形式</w:t>
      </w:r>
      <w:r>
        <w:rPr>
          <w:rFonts w:hint="eastAsia" w:ascii="仿宋" w:hAnsi="仿宋" w:eastAsia="仿宋" w:cs="仿宋"/>
          <w:spacing w:val="-12"/>
          <w:sz w:val="24"/>
          <w:szCs w:val="24"/>
          <w:highlight w:val="none"/>
          <w:lang w:eastAsia="zh-CN"/>
        </w:rPr>
        <w:t>甲方委托乙方</w:t>
      </w:r>
      <w:r>
        <w:rPr>
          <w:rFonts w:ascii="仿宋" w:hAnsi="仿宋" w:eastAsia="仿宋" w:cs="仿宋"/>
          <w:spacing w:val="-12"/>
          <w:sz w:val="24"/>
          <w:szCs w:val="24"/>
          <w:highlight w:val="none"/>
        </w:rPr>
        <w:t>代理的案件（如刑事报案、仲裁、司法调解等）或涉及其他相关业务的。</w:t>
      </w:r>
    </w:p>
    <w:p w14:paraId="6F5DA55E">
      <w:pPr>
        <w:numPr>
          <w:ilvl w:val="0"/>
          <w:numId w:val="0"/>
        </w:numPr>
        <w:shd w:val="clear" w:color="auto" w:fill="auto"/>
        <w:snapToGrid w:val="0"/>
        <w:spacing w:line="400" w:lineRule="exact"/>
        <w:ind w:firstLine="432" w:firstLineChars="200"/>
        <w:contextualSpacing/>
        <w:rPr>
          <w:rFonts w:hint="default" w:ascii="仿宋" w:hAnsi="仿宋" w:eastAsia="仿宋" w:cs="仿宋"/>
          <w:spacing w:val="-12"/>
          <w:sz w:val="24"/>
          <w:szCs w:val="24"/>
          <w:highlight w:val="none"/>
        </w:rPr>
      </w:pPr>
      <w:r>
        <w:rPr>
          <w:rFonts w:hint="eastAsia" w:ascii="仿宋" w:hAnsi="仿宋" w:eastAsia="仿宋" w:cs="仿宋"/>
          <w:spacing w:val="-12"/>
          <w:sz w:val="24"/>
          <w:szCs w:val="24"/>
          <w:highlight w:val="none"/>
          <w:lang w:val="en-US" w:eastAsia="zh-CN"/>
        </w:rPr>
        <w:t>（四）</w:t>
      </w:r>
      <w:r>
        <w:rPr>
          <w:rFonts w:ascii="仿宋" w:hAnsi="仿宋" w:eastAsia="仿宋" w:cs="仿宋"/>
          <w:spacing w:val="-12"/>
          <w:sz w:val="24"/>
          <w:szCs w:val="24"/>
          <w:highlight w:val="none"/>
        </w:rPr>
        <w:t>服务标准</w:t>
      </w:r>
    </w:p>
    <w:p w14:paraId="251808DD">
      <w:pPr>
        <w:numPr>
          <w:ilvl w:val="0"/>
          <w:numId w:val="0"/>
        </w:numPr>
        <w:shd w:val="clear" w:color="auto" w:fill="auto"/>
        <w:snapToGrid w:val="0"/>
        <w:spacing w:line="400" w:lineRule="exact"/>
        <w:ind w:firstLine="384"/>
        <w:contextualSpacing/>
        <w:rPr>
          <w:rFonts w:hint="default" w:ascii="仿宋" w:hAnsi="仿宋" w:eastAsia="仿宋" w:cs="仿宋"/>
          <w:spacing w:val="-12"/>
          <w:sz w:val="24"/>
          <w:szCs w:val="24"/>
          <w:highlight w:val="none"/>
        </w:rPr>
      </w:pPr>
      <w:r>
        <w:rPr>
          <w:rFonts w:hint="eastAsia" w:ascii="仿宋" w:hAnsi="仿宋" w:eastAsia="仿宋" w:cs="仿宋"/>
          <w:spacing w:val="-12"/>
          <w:sz w:val="24"/>
          <w:szCs w:val="24"/>
          <w:highlight w:val="none"/>
          <w:lang w:val="en-US" w:eastAsia="zh-CN"/>
        </w:rPr>
        <w:t>1、</w:t>
      </w:r>
      <w:r>
        <w:rPr>
          <w:rFonts w:ascii="仿宋" w:hAnsi="仿宋" w:eastAsia="仿宋" w:cs="仿宋"/>
          <w:spacing w:val="-12"/>
          <w:sz w:val="24"/>
          <w:szCs w:val="24"/>
          <w:highlight w:val="none"/>
        </w:rPr>
        <w:t>甲方派单后将个案资料发送至乙方指定接收地址。</w:t>
      </w:r>
    </w:p>
    <w:p w14:paraId="571FE8A8">
      <w:pPr>
        <w:numPr>
          <w:ilvl w:val="0"/>
          <w:numId w:val="0"/>
        </w:numPr>
        <w:shd w:val="clear" w:color="auto" w:fill="auto"/>
        <w:snapToGrid w:val="0"/>
        <w:spacing w:line="400" w:lineRule="exact"/>
        <w:ind w:firstLine="384"/>
        <w:contextualSpacing/>
        <w:rPr>
          <w:rFonts w:hint="default" w:ascii="仿宋" w:hAnsi="仿宋" w:eastAsia="仿宋" w:cs="仿宋"/>
          <w:spacing w:val="-12"/>
          <w:sz w:val="24"/>
          <w:szCs w:val="24"/>
          <w:highlight w:val="none"/>
        </w:rPr>
      </w:pPr>
      <w:r>
        <w:rPr>
          <w:rFonts w:hint="eastAsia" w:ascii="仿宋" w:hAnsi="仿宋" w:eastAsia="仿宋" w:cs="仿宋"/>
          <w:spacing w:val="-12"/>
          <w:sz w:val="24"/>
          <w:szCs w:val="24"/>
          <w:highlight w:val="none"/>
          <w:lang w:val="en-US" w:eastAsia="zh-CN"/>
        </w:rPr>
        <w:t>2、</w:t>
      </w:r>
      <w:r>
        <w:rPr>
          <w:rFonts w:ascii="仿宋" w:hAnsi="仿宋" w:eastAsia="仿宋" w:cs="仿宋"/>
          <w:spacing w:val="-12"/>
          <w:sz w:val="24"/>
          <w:szCs w:val="24"/>
          <w:highlight w:val="none"/>
        </w:rPr>
        <w:t>乙方应按照甲方要求，对所有受委托的案件所做的相关操作均完整保留及准确记录，甲方有权审阅并随时询问处理情况，并可在正常营业时间内，随时派员至乙方处查询</w:t>
      </w:r>
      <w:r>
        <w:rPr>
          <w:rFonts w:hint="eastAsia" w:ascii="仿宋" w:hAnsi="仿宋" w:eastAsia="仿宋" w:cs="仿宋"/>
          <w:spacing w:val="-12"/>
          <w:sz w:val="24"/>
          <w:szCs w:val="24"/>
          <w:highlight w:val="none"/>
          <w:lang w:eastAsia="zh-CN"/>
        </w:rPr>
        <w:t>，乙方应予以积极配合</w:t>
      </w:r>
      <w:r>
        <w:rPr>
          <w:rFonts w:ascii="仿宋" w:hAnsi="仿宋" w:eastAsia="仿宋" w:cs="仿宋"/>
          <w:spacing w:val="-12"/>
          <w:sz w:val="24"/>
          <w:szCs w:val="24"/>
          <w:highlight w:val="none"/>
        </w:rPr>
        <w:t>；</w:t>
      </w:r>
    </w:p>
    <w:p w14:paraId="1BB08EFB">
      <w:pPr>
        <w:numPr>
          <w:ilvl w:val="0"/>
          <w:numId w:val="0"/>
        </w:numPr>
        <w:shd w:val="clear" w:color="auto" w:fill="auto"/>
        <w:snapToGrid w:val="0"/>
        <w:spacing w:line="400" w:lineRule="exact"/>
        <w:ind w:firstLine="384"/>
        <w:contextualSpacing/>
        <w:rPr>
          <w:rFonts w:ascii="仿宋" w:hAnsi="仿宋" w:eastAsia="仿宋" w:cs="仿宋"/>
          <w:spacing w:val="-12"/>
          <w:sz w:val="24"/>
          <w:szCs w:val="24"/>
          <w:highlight w:val="none"/>
        </w:rPr>
      </w:pPr>
      <w:r>
        <w:rPr>
          <w:rFonts w:hint="eastAsia" w:ascii="仿宋" w:hAnsi="仿宋" w:eastAsia="仿宋" w:cs="仿宋"/>
          <w:spacing w:val="-12"/>
          <w:sz w:val="24"/>
          <w:szCs w:val="24"/>
          <w:highlight w:val="none"/>
          <w:lang w:val="en-US" w:eastAsia="zh-CN"/>
        </w:rPr>
        <w:t>3、</w:t>
      </w:r>
      <w:r>
        <w:rPr>
          <w:rFonts w:ascii="仿宋" w:hAnsi="仿宋" w:eastAsia="仿宋" w:cs="仿宋"/>
          <w:spacing w:val="-12"/>
          <w:sz w:val="24"/>
          <w:szCs w:val="24"/>
          <w:highlight w:val="none"/>
        </w:rPr>
        <w:t>乙方处理个案时发现的欠款客户死亡、立案等特殊账户时，应要求对方提供相关的死亡、失踪和司法证明，并及时交予甲方保管；</w:t>
      </w:r>
    </w:p>
    <w:p w14:paraId="4184A6B5">
      <w:pPr>
        <w:numPr>
          <w:ilvl w:val="0"/>
          <w:numId w:val="0"/>
        </w:numPr>
        <w:shd w:val="clear" w:color="auto" w:fill="auto"/>
        <w:snapToGrid w:val="0"/>
        <w:spacing w:line="400" w:lineRule="exact"/>
        <w:ind w:firstLine="432" w:firstLineChars="200"/>
        <w:contextualSpacing/>
        <w:rPr>
          <w:rFonts w:hint="eastAsia" w:ascii="仿宋" w:hAnsi="仿宋" w:eastAsia="仿宋" w:cs="仿宋"/>
          <w:spacing w:val="-12"/>
          <w:sz w:val="24"/>
          <w:szCs w:val="24"/>
          <w:highlight w:val="none"/>
        </w:rPr>
      </w:pPr>
      <w:r>
        <w:rPr>
          <w:rFonts w:hint="eastAsia" w:ascii="仿宋" w:hAnsi="仿宋" w:eastAsia="仿宋" w:cs="仿宋"/>
          <w:spacing w:val="-12"/>
          <w:sz w:val="24"/>
          <w:szCs w:val="24"/>
          <w:highlight w:val="none"/>
          <w:lang w:val="en-US" w:eastAsia="zh-CN"/>
        </w:rPr>
        <w:t>（五）</w:t>
      </w:r>
      <w:r>
        <w:rPr>
          <w:rFonts w:hint="eastAsia" w:ascii="仿宋" w:hAnsi="仿宋" w:eastAsia="仿宋" w:cs="仿宋"/>
          <w:spacing w:val="-12"/>
          <w:sz w:val="24"/>
          <w:szCs w:val="24"/>
          <w:highlight w:val="none"/>
        </w:rPr>
        <w:t>甲方委托乙方的代理事项包括甲方自有资产和基础资产（即甲方与信托公司依法合作开展的资产证券化、流转及其他业务项下的资产），基础资产服务标准、服务费</w:t>
      </w:r>
      <w:r>
        <w:rPr>
          <w:rFonts w:hint="eastAsia" w:ascii="仿宋" w:hAnsi="仿宋" w:eastAsia="仿宋" w:cs="仿宋"/>
          <w:spacing w:val="-12"/>
          <w:sz w:val="24"/>
          <w:szCs w:val="24"/>
          <w:highlight w:val="none"/>
          <w:lang w:eastAsia="zh-CN"/>
        </w:rPr>
        <w:t>用、基础费用、律师代理费</w:t>
      </w:r>
      <w:r>
        <w:rPr>
          <w:rFonts w:hint="eastAsia" w:ascii="仿宋" w:hAnsi="仿宋" w:eastAsia="仿宋" w:cs="仿宋"/>
          <w:spacing w:val="-12"/>
          <w:sz w:val="24"/>
          <w:szCs w:val="24"/>
          <w:highlight w:val="none"/>
        </w:rPr>
        <w:t>与甲方自有资产一致。</w:t>
      </w:r>
    </w:p>
    <w:p w14:paraId="0BDB81EB">
      <w:pPr>
        <w:numPr>
          <w:ilvl w:val="0"/>
          <w:numId w:val="0"/>
        </w:numPr>
        <w:shd w:val="clear" w:color="auto" w:fill="auto"/>
        <w:snapToGrid w:val="0"/>
        <w:spacing w:line="400" w:lineRule="exact"/>
        <w:ind w:firstLine="384"/>
        <w:contextualSpacing/>
        <w:rPr>
          <w:rFonts w:hint="eastAsia" w:ascii="仿宋" w:hAnsi="仿宋" w:eastAsia="仿宋" w:cs="仿宋"/>
          <w:b/>
          <w:bCs/>
          <w:spacing w:val="-12"/>
          <w:sz w:val="24"/>
          <w:highlight w:val="none"/>
          <w:lang w:eastAsia="zh-CN"/>
        </w:rPr>
      </w:pPr>
      <w:r>
        <w:rPr>
          <w:rFonts w:hint="eastAsia" w:ascii="仿宋" w:hAnsi="仿宋" w:eastAsia="仿宋" w:cs="仿宋"/>
          <w:spacing w:val="-12"/>
          <w:sz w:val="24"/>
          <w:szCs w:val="24"/>
          <w:highlight w:val="none"/>
          <w:lang w:eastAsia="zh-CN"/>
        </w:rPr>
        <w:t>（六）</w:t>
      </w:r>
      <w:r>
        <w:rPr>
          <w:rFonts w:hint="eastAsia" w:ascii="仿宋" w:hAnsi="仿宋" w:eastAsia="仿宋" w:cs="仿宋"/>
          <w:b/>
          <w:bCs/>
          <w:spacing w:val="-12"/>
          <w:sz w:val="24"/>
          <w:szCs w:val="24"/>
          <w:highlight w:val="none"/>
          <w:lang w:eastAsia="zh-CN"/>
        </w:rPr>
        <w:t>乙方确认并同意，本合同项下甲方有权给乙方设立立案考核目标，具体目标以甲方后续书面函件通知为准，乙方需严格按照甲方要求的考核目标提供本合同项下服务。</w:t>
      </w:r>
    </w:p>
    <w:p w14:paraId="620FA302">
      <w:pPr>
        <w:pStyle w:val="2"/>
        <w:shd w:val="clear" w:color="auto" w:fill="auto"/>
        <w:spacing w:beforeLines="0" w:afterLines="0" w:line="400" w:lineRule="exact"/>
        <w:rPr>
          <w:rFonts w:hint="eastAsia" w:ascii="仿宋" w:hAnsi="仿宋" w:eastAsia="仿宋" w:cs="仿宋"/>
          <w:sz w:val="24"/>
          <w:szCs w:val="24"/>
          <w:lang w:val="en-US" w:eastAsia="zh-CN"/>
        </w:rPr>
      </w:pPr>
      <w:r>
        <w:rPr>
          <w:rFonts w:hint="eastAsia"/>
          <w:lang w:val="en-US" w:eastAsia="zh-CN"/>
        </w:rPr>
        <w:t xml:space="preserve">  </w:t>
      </w:r>
    </w:p>
    <w:p w14:paraId="627EA4CC">
      <w:pPr>
        <w:numPr>
          <w:ilvl w:val="0"/>
          <w:numId w:val="0"/>
        </w:numPr>
        <w:shd w:val="clear" w:color="auto" w:fill="auto"/>
        <w:snapToGrid w:val="0"/>
        <w:spacing w:line="400" w:lineRule="exact"/>
        <w:ind w:firstLine="384"/>
        <w:contextualSpacing/>
        <w:rPr>
          <w:rFonts w:hint="eastAsia" w:ascii="仿宋" w:hAnsi="仿宋" w:eastAsia="仿宋" w:cs="仿宋"/>
          <w:spacing w:val="-12"/>
          <w:sz w:val="24"/>
          <w:szCs w:val="24"/>
          <w:highlight w:val="none"/>
          <w:lang w:val="en-US" w:eastAsia="zh-CN"/>
        </w:rPr>
      </w:pPr>
    </w:p>
    <w:p w14:paraId="7D2A08D8">
      <w:pPr>
        <w:shd w:val="clear" w:color="auto" w:fill="auto"/>
        <w:snapToGrid w:val="0"/>
        <w:spacing w:line="400" w:lineRule="exact"/>
        <w:ind w:firstLine="434" w:firstLineChars="200"/>
        <w:contextualSpacing/>
        <w:jc w:val="center"/>
        <w:rPr>
          <w:rFonts w:hint="default" w:ascii="仿宋" w:hAnsi="仿宋" w:eastAsia="仿宋" w:cs="仿宋"/>
          <w:b/>
          <w:bCs/>
          <w:spacing w:val="-12"/>
          <w:sz w:val="24"/>
          <w:szCs w:val="24"/>
          <w:highlight w:val="none"/>
        </w:rPr>
      </w:pPr>
      <w:r>
        <w:rPr>
          <w:rFonts w:ascii="仿宋" w:hAnsi="仿宋" w:eastAsia="仿宋" w:cs="仿宋"/>
          <w:b/>
          <w:bCs/>
          <w:spacing w:val="-12"/>
          <w:sz w:val="24"/>
          <w:szCs w:val="24"/>
          <w:highlight w:val="none"/>
        </w:rPr>
        <w:t>三、甲方委托乙方的代理权限</w:t>
      </w:r>
    </w:p>
    <w:p w14:paraId="2BDB8ACC">
      <w:pPr>
        <w:pStyle w:val="11"/>
        <w:shd w:val="clear" w:color="auto" w:fill="auto"/>
        <w:snapToGrid w:val="0"/>
        <w:spacing w:line="400" w:lineRule="exact"/>
        <w:ind w:firstLine="432" w:firstLineChars="200"/>
        <w:contextualSpacing/>
        <w:rPr>
          <w:rFonts w:hint="eastAsia" w:ascii="仿宋" w:hAnsi="仿宋" w:eastAsia="仿宋" w:cs="仿宋"/>
          <w:spacing w:val="-12"/>
          <w:sz w:val="24"/>
          <w:szCs w:val="24"/>
          <w:highlight w:val="none"/>
        </w:rPr>
      </w:pPr>
      <w:r>
        <w:rPr>
          <w:rFonts w:hint="eastAsia" w:ascii="仿宋" w:hAnsi="仿宋" w:eastAsia="仿宋" w:cs="仿宋"/>
          <w:spacing w:val="-12"/>
          <w:sz w:val="24"/>
          <w:szCs w:val="24"/>
          <w:highlight w:val="none"/>
        </w:rPr>
        <w:t>甲方授予乙方的代理权限为特别授权，具体以甲方就个案向乙方出具的《授权委托书》为准。但在代理过程中涉及到的甲方权利事项，如利费减免，变更、放弃诉讼请求等，必须得到甲方批复同意后方可执行。</w:t>
      </w:r>
    </w:p>
    <w:p w14:paraId="7E426F80">
      <w:pPr>
        <w:numPr>
          <w:ilvl w:val="0"/>
          <w:numId w:val="2"/>
        </w:numPr>
        <w:shd w:val="clear" w:color="auto" w:fill="auto"/>
        <w:snapToGrid w:val="0"/>
        <w:spacing w:line="400" w:lineRule="exact"/>
        <w:ind w:firstLine="434" w:firstLineChars="200"/>
        <w:contextualSpacing/>
        <w:jc w:val="center"/>
        <w:rPr>
          <w:rFonts w:hint="default" w:ascii="仿宋" w:hAnsi="仿宋" w:eastAsia="仿宋" w:cs="仿宋"/>
          <w:b/>
          <w:bCs/>
          <w:spacing w:val="-12"/>
          <w:sz w:val="24"/>
          <w:szCs w:val="24"/>
          <w:highlight w:val="none"/>
        </w:rPr>
      </w:pPr>
      <w:r>
        <w:rPr>
          <w:rFonts w:ascii="仿宋" w:hAnsi="仿宋" w:eastAsia="仿宋" w:cs="仿宋"/>
          <w:b/>
          <w:bCs/>
          <w:spacing w:val="-12"/>
          <w:sz w:val="24"/>
          <w:szCs w:val="24"/>
          <w:highlight w:val="none"/>
        </w:rPr>
        <w:t>委托期限</w:t>
      </w:r>
    </w:p>
    <w:p w14:paraId="11741A33">
      <w:pPr>
        <w:shd w:val="clear" w:color="auto" w:fill="auto"/>
        <w:snapToGrid w:val="0"/>
        <w:spacing w:line="400" w:lineRule="exact"/>
        <w:contextualSpacing/>
        <w:rPr>
          <w:rFonts w:hint="eastAsia" w:ascii="仿宋" w:hAnsi="仿宋" w:eastAsia="仿宋" w:cs="仿宋"/>
          <w:spacing w:val="-12"/>
          <w:sz w:val="24"/>
          <w:szCs w:val="24"/>
          <w:highlight w:val="none"/>
        </w:rPr>
      </w:pPr>
      <w:r>
        <w:rPr>
          <w:rFonts w:ascii="仿宋" w:hAnsi="仿宋" w:eastAsia="仿宋" w:cs="仿宋"/>
          <w:spacing w:val="-12"/>
          <w:sz w:val="24"/>
          <w:szCs w:val="24"/>
          <w:highlight w:val="none"/>
        </w:rPr>
        <w:t xml:space="preserve">  </w:t>
      </w:r>
      <w:r>
        <w:rPr>
          <w:rFonts w:hint="eastAsia" w:ascii="仿宋" w:hAnsi="仿宋" w:eastAsia="仿宋" w:cs="仿宋"/>
          <w:spacing w:val="-12"/>
          <w:sz w:val="24"/>
          <w:szCs w:val="24"/>
          <w:highlight w:val="none"/>
          <w:lang w:val="en-US" w:eastAsia="zh-CN"/>
        </w:rPr>
        <w:t xml:space="preserve">  （一）</w:t>
      </w:r>
      <w:r>
        <w:rPr>
          <w:rFonts w:ascii="仿宋" w:hAnsi="仿宋" w:eastAsia="仿宋" w:cs="仿宋"/>
          <w:spacing w:val="-12"/>
          <w:sz w:val="24"/>
          <w:szCs w:val="24"/>
          <w:highlight w:val="none"/>
          <w:shd w:val="clear" w:color="auto" w:fill="auto"/>
        </w:rPr>
        <w:t>甲乙双方</w:t>
      </w:r>
      <w:r>
        <w:rPr>
          <w:rFonts w:hint="eastAsia" w:ascii="仿宋" w:hAnsi="仿宋" w:eastAsia="仿宋" w:cs="仿宋"/>
          <w:spacing w:val="-12"/>
          <w:sz w:val="24"/>
          <w:szCs w:val="24"/>
          <w:highlight w:val="none"/>
          <w:shd w:val="clear" w:color="auto" w:fill="auto"/>
          <w:lang w:eastAsia="zh-CN"/>
        </w:rPr>
        <w:t>本次</w:t>
      </w:r>
      <w:r>
        <w:rPr>
          <w:rFonts w:ascii="仿宋" w:hAnsi="仿宋" w:eastAsia="仿宋" w:cs="仿宋"/>
          <w:spacing w:val="-12"/>
          <w:sz w:val="24"/>
          <w:szCs w:val="24"/>
          <w:highlight w:val="none"/>
          <w:shd w:val="clear" w:color="auto" w:fill="auto"/>
        </w:rPr>
        <w:t>合作期限</w:t>
      </w:r>
      <w:r>
        <w:rPr>
          <w:rFonts w:hint="eastAsia" w:ascii="仿宋" w:hAnsi="仿宋" w:eastAsia="仿宋" w:cs="仿宋"/>
          <w:spacing w:val="-12"/>
          <w:sz w:val="24"/>
          <w:szCs w:val="24"/>
          <w:highlight w:val="none"/>
          <w:shd w:val="clear" w:color="auto" w:fill="auto"/>
          <w:lang w:eastAsia="zh-CN"/>
        </w:rPr>
        <w:t>为</w:t>
      </w:r>
      <w:r>
        <w:rPr>
          <w:rFonts w:hint="eastAsia" w:ascii="仿宋" w:hAnsi="仿宋" w:eastAsia="仿宋" w:cs="仿宋"/>
          <w:spacing w:val="-12"/>
          <w:sz w:val="24"/>
          <w:szCs w:val="24"/>
          <w:highlight w:val="none"/>
          <w:shd w:val="clear" w:color="auto" w:fill="auto"/>
          <w:lang w:val="en-US" w:eastAsia="zh-CN"/>
        </w:rPr>
        <w:t>XXX</w:t>
      </w:r>
      <w:r>
        <w:rPr>
          <w:rFonts w:hint="eastAsia" w:ascii="仿宋" w:hAnsi="仿宋" w:eastAsia="仿宋" w:cs="仿宋"/>
          <w:spacing w:val="-12"/>
          <w:sz w:val="24"/>
          <w:szCs w:val="24"/>
          <w:highlight w:val="none"/>
          <w:shd w:val="clear" w:color="auto" w:fill="auto"/>
          <w:lang w:eastAsia="zh-CN"/>
        </w:rPr>
        <w:t>，自合同生效之日起算</w:t>
      </w:r>
      <w:r>
        <w:rPr>
          <w:rFonts w:hint="eastAsia" w:ascii="仿宋" w:hAnsi="仿宋" w:eastAsia="仿宋" w:cs="仿宋"/>
          <w:spacing w:val="-12"/>
          <w:sz w:val="24"/>
          <w:szCs w:val="24"/>
          <w:highlight w:val="none"/>
          <w:shd w:val="clear" w:color="auto" w:fill="auto"/>
        </w:rPr>
        <w:t>；</w:t>
      </w:r>
    </w:p>
    <w:p w14:paraId="1BFD3445">
      <w:pPr>
        <w:shd w:val="clear" w:color="auto" w:fill="auto"/>
        <w:snapToGrid w:val="0"/>
        <w:spacing w:line="400" w:lineRule="exact"/>
        <w:ind w:firstLine="432" w:firstLineChars="200"/>
        <w:contextualSpacing/>
        <w:rPr>
          <w:rFonts w:hint="default" w:ascii="仿宋" w:hAnsi="仿宋" w:eastAsia="仿宋" w:cs="仿宋"/>
          <w:spacing w:val="-12"/>
          <w:sz w:val="24"/>
          <w:szCs w:val="24"/>
          <w:highlight w:val="none"/>
        </w:rPr>
      </w:pPr>
      <w:r>
        <w:rPr>
          <w:rFonts w:hint="eastAsia" w:ascii="仿宋" w:hAnsi="仿宋" w:eastAsia="仿宋" w:cs="仿宋"/>
          <w:spacing w:val="-12"/>
          <w:sz w:val="24"/>
          <w:szCs w:val="24"/>
          <w:highlight w:val="none"/>
          <w:lang w:eastAsia="zh-CN"/>
        </w:rPr>
        <w:t>（二）</w:t>
      </w:r>
      <w:r>
        <w:rPr>
          <w:rFonts w:hint="eastAsia" w:ascii="仿宋" w:hAnsi="仿宋" w:eastAsia="仿宋" w:cs="仿宋"/>
          <w:spacing w:val="-12"/>
          <w:sz w:val="24"/>
          <w:szCs w:val="24"/>
          <w:highlight w:val="none"/>
          <w:lang w:val="en-US" w:eastAsia="zh-CN"/>
        </w:rPr>
        <w:t xml:space="preserve"> </w:t>
      </w:r>
      <w:r>
        <w:rPr>
          <w:rFonts w:hint="eastAsia" w:ascii="仿宋" w:hAnsi="仿宋" w:eastAsia="仿宋" w:cs="仿宋"/>
          <w:spacing w:val="-12"/>
          <w:sz w:val="24"/>
          <w:szCs w:val="24"/>
          <w:highlight w:val="none"/>
        </w:rPr>
        <w:t>若乙方出现以下情况甲方有权单方解除个案委托，且不需承担任何违约责任</w:t>
      </w:r>
      <w:r>
        <w:rPr>
          <w:rFonts w:ascii="仿宋" w:hAnsi="仿宋" w:eastAsia="仿宋" w:cs="仿宋"/>
          <w:spacing w:val="-12"/>
          <w:sz w:val="24"/>
          <w:szCs w:val="24"/>
          <w:highlight w:val="none"/>
        </w:rPr>
        <w:t>；</w:t>
      </w:r>
    </w:p>
    <w:p w14:paraId="23C0EE5D">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rPr>
      </w:pPr>
      <w:r>
        <w:rPr>
          <w:rFonts w:hint="eastAsia" w:ascii="仿宋" w:hAnsi="仿宋" w:eastAsia="仿宋" w:cs="仿宋"/>
          <w:spacing w:val="-12"/>
          <w:sz w:val="24"/>
          <w:szCs w:val="24"/>
          <w:highlight w:val="none"/>
        </w:rPr>
        <w:t>1、甲方获得胜诉的案件在终审判决后6个月内乙方未申请强制执行的；</w:t>
      </w:r>
    </w:p>
    <w:p w14:paraId="1A571F4E">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rPr>
      </w:pPr>
      <w:r>
        <w:rPr>
          <w:rFonts w:hint="eastAsia" w:ascii="仿宋" w:hAnsi="仿宋" w:eastAsia="仿宋" w:cs="仿宋"/>
          <w:spacing w:val="-12"/>
          <w:sz w:val="24"/>
          <w:szCs w:val="24"/>
          <w:highlight w:val="none"/>
        </w:rPr>
        <w:t>2、诉讼过程中出现特殊情况（包括但不限于甲方持卡人身份或关系敏感、可能或已经产生不良投诉事件等）；</w:t>
      </w:r>
    </w:p>
    <w:p w14:paraId="5B2C1F31">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rPr>
      </w:pPr>
      <w:r>
        <w:rPr>
          <w:rFonts w:hint="eastAsia" w:ascii="仿宋" w:hAnsi="仿宋" w:eastAsia="仿宋" w:cs="仿宋"/>
          <w:spacing w:val="-12"/>
          <w:sz w:val="24"/>
          <w:szCs w:val="24"/>
          <w:highlight w:val="none"/>
        </w:rPr>
        <w:t>3、将甲方证据资料丢失、毁坏的；</w:t>
      </w:r>
    </w:p>
    <w:p w14:paraId="56946FF7">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rPr>
      </w:pPr>
      <w:r>
        <w:rPr>
          <w:rFonts w:hint="eastAsia" w:ascii="仿宋" w:hAnsi="仿宋" w:eastAsia="仿宋" w:cs="仿宋"/>
          <w:spacing w:val="-12"/>
          <w:sz w:val="24"/>
          <w:szCs w:val="24"/>
          <w:highlight w:val="none"/>
        </w:rPr>
        <w:t>4、违反合同约定，</w:t>
      </w:r>
      <w:r>
        <w:rPr>
          <w:rFonts w:hint="eastAsia" w:ascii="仿宋" w:hAnsi="仿宋" w:eastAsia="仿宋" w:cs="仿宋"/>
          <w:spacing w:val="-12"/>
          <w:sz w:val="24"/>
          <w:szCs w:val="24"/>
          <w:highlight w:val="none"/>
          <w:lang w:eastAsia="zh-CN"/>
        </w:rPr>
        <w:t>存在</w:t>
      </w:r>
      <w:r>
        <w:rPr>
          <w:rFonts w:hint="eastAsia" w:ascii="仿宋" w:hAnsi="仿宋" w:eastAsia="仿宋" w:cs="仿宋"/>
          <w:spacing w:val="-12"/>
          <w:sz w:val="24"/>
          <w:szCs w:val="24"/>
          <w:highlight w:val="none"/>
        </w:rPr>
        <w:t>违反法律或违背社会公德行为，对甲方声誉产生负面影响的；</w:t>
      </w:r>
    </w:p>
    <w:p w14:paraId="18B7AC3E">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rPr>
      </w:pPr>
      <w:r>
        <w:rPr>
          <w:rFonts w:hint="eastAsia" w:ascii="仿宋" w:hAnsi="仿宋" w:eastAsia="仿宋" w:cs="仿宋"/>
          <w:spacing w:val="-12"/>
          <w:sz w:val="24"/>
          <w:szCs w:val="24"/>
          <w:highlight w:val="none"/>
        </w:rPr>
        <w:t>5、由于乙方原因未及时与相关部门、人员沟通或采取相应措施，导致</w:t>
      </w:r>
      <w:r>
        <w:rPr>
          <w:rFonts w:hint="eastAsia" w:ascii="仿宋" w:hAnsi="仿宋" w:eastAsia="仿宋" w:cs="仿宋"/>
          <w:spacing w:val="-12"/>
          <w:sz w:val="24"/>
          <w:szCs w:val="24"/>
          <w:highlight w:val="none"/>
          <w:lang w:eastAsia="zh-CN"/>
        </w:rPr>
        <w:t>延误</w:t>
      </w:r>
      <w:r>
        <w:rPr>
          <w:rFonts w:hint="eastAsia" w:ascii="仿宋" w:hAnsi="仿宋" w:eastAsia="仿宋" w:cs="仿宋"/>
          <w:spacing w:val="-12"/>
          <w:sz w:val="24"/>
          <w:szCs w:val="24"/>
          <w:highlight w:val="none"/>
        </w:rPr>
        <w:t>资产处置的重要时机，延误资产处置进程的；</w:t>
      </w:r>
    </w:p>
    <w:p w14:paraId="2D42259C">
      <w:pPr>
        <w:pStyle w:val="11"/>
        <w:shd w:val="clear" w:color="auto" w:fill="auto"/>
        <w:snapToGrid w:val="0"/>
        <w:spacing w:line="400" w:lineRule="exact"/>
        <w:ind w:firstLine="432" w:firstLineChars="200"/>
        <w:contextualSpacing/>
        <w:rPr>
          <w:rFonts w:hint="eastAsia" w:ascii="仿宋" w:hAnsi="仿宋" w:eastAsia="仿宋" w:cs="仿宋"/>
          <w:spacing w:val="-12"/>
          <w:sz w:val="24"/>
          <w:szCs w:val="24"/>
          <w:highlight w:val="none"/>
        </w:rPr>
      </w:pPr>
      <w:r>
        <w:rPr>
          <w:rFonts w:hint="eastAsia" w:ascii="仿宋" w:hAnsi="仿宋" w:eastAsia="仿宋" w:cs="仿宋"/>
          <w:spacing w:val="-12"/>
          <w:sz w:val="24"/>
          <w:szCs w:val="24"/>
          <w:highlight w:val="none"/>
        </w:rPr>
        <w:t>6、乙方无法进行正常业务运作超过30日的；</w:t>
      </w:r>
    </w:p>
    <w:p w14:paraId="2E3DB22F">
      <w:pPr>
        <w:pStyle w:val="11"/>
        <w:shd w:val="clear" w:color="auto" w:fill="auto"/>
        <w:snapToGrid w:val="0"/>
        <w:spacing w:line="400" w:lineRule="exact"/>
        <w:ind w:firstLine="432" w:firstLineChars="200"/>
        <w:contextualSpacing/>
        <w:rPr>
          <w:rFonts w:hint="eastAsia" w:ascii="仿宋" w:hAnsi="仿宋" w:eastAsia="仿宋" w:cs="仿宋"/>
          <w:spacing w:val="-12"/>
          <w:sz w:val="24"/>
          <w:szCs w:val="24"/>
          <w:highlight w:val="none"/>
          <w:lang w:val="en-US" w:eastAsia="zh-CN"/>
        </w:rPr>
      </w:pPr>
      <w:r>
        <w:rPr>
          <w:rFonts w:hint="eastAsia" w:ascii="仿宋" w:hAnsi="仿宋" w:eastAsia="仿宋" w:cs="仿宋"/>
          <w:spacing w:val="-12"/>
          <w:sz w:val="24"/>
          <w:szCs w:val="24"/>
          <w:highlight w:val="none"/>
          <w:lang w:val="en-US" w:eastAsia="zh-CN"/>
        </w:rPr>
        <w:t>7、派案后3个月因律所原因未立案且未达成还款协议；</w:t>
      </w:r>
    </w:p>
    <w:p w14:paraId="594B87B2">
      <w:pPr>
        <w:pStyle w:val="11"/>
        <w:shd w:val="clear" w:color="auto" w:fill="auto"/>
        <w:snapToGrid w:val="0"/>
        <w:spacing w:line="400" w:lineRule="exact"/>
        <w:ind w:firstLine="432" w:firstLineChars="200"/>
        <w:contextualSpacing/>
        <w:rPr>
          <w:rFonts w:hint="eastAsia" w:ascii="仿宋" w:hAnsi="仿宋" w:eastAsia="仿宋" w:cs="仿宋"/>
          <w:spacing w:val="-12"/>
          <w:sz w:val="24"/>
          <w:szCs w:val="24"/>
          <w:highlight w:val="none"/>
        </w:rPr>
      </w:pPr>
      <w:r>
        <w:rPr>
          <w:rFonts w:hint="eastAsia" w:ascii="仿宋" w:hAnsi="仿宋" w:eastAsia="仿宋" w:cs="仿宋"/>
          <w:spacing w:val="-12"/>
          <w:sz w:val="24"/>
          <w:szCs w:val="24"/>
          <w:highlight w:val="none"/>
          <w:lang w:val="en-US" w:eastAsia="zh-CN"/>
        </w:rPr>
        <w:t>8</w:t>
      </w:r>
      <w:r>
        <w:rPr>
          <w:rFonts w:hint="eastAsia" w:ascii="仿宋" w:hAnsi="仿宋" w:eastAsia="仿宋" w:cs="仿宋"/>
          <w:spacing w:val="-12"/>
          <w:sz w:val="24"/>
          <w:szCs w:val="24"/>
          <w:highlight w:val="none"/>
        </w:rPr>
        <w:t>、甲方认为有必要终止个案委托的其他情形。</w:t>
      </w:r>
    </w:p>
    <w:p w14:paraId="1E7DEA44">
      <w:pPr>
        <w:pStyle w:val="11"/>
        <w:shd w:val="clear" w:color="auto" w:fill="auto"/>
        <w:snapToGrid w:val="0"/>
        <w:spacing w:line="400" w:lineRule="exact"/>
        <w:ind w:firstLine="432" w:firstLineChars="200"/>
        <w:contextualSpacing/>
        <w:rPr>
          <w:rFonts w:hint="eastAsia" w:ascii="仿宋" w:hAnsi="仿宋" w:eastAsia="仿宋" w:cs="仿宋"/>
          <w:spacing w:val="-12"/>
          <w:sz w:val="24"/>
          <w:szCs w:val="24"/>
          <w:highlight w:val="none"/>
        </w:rPr>
      </w:pPr>
      <w:r>
        <w:rPr>
          <w:rFonts w:hint="eastAsia" w:ascii="仿宋" w:hAnsi="仿宋" w:eastAsia="仿宋" w:cs="仿宋"/>
          <w:spacing w:val="-12"/>
          <w:sz w:val="24"/>
          <w:szCs w:val="24"/>
          <w:highlight w:val="none"/>
          <w:lang w:eastAsia="zh-CN"/>
        </w:rPr>
        <w:t>（三）诉讼案件</w:t>
      </w:r>
      <w:r>
        <w:rPr>
          <w:rFonts w:hint="eastAsia" w:ascii="仿宋" w:hAnsi="仿宋" w:eastAsia="仿宋" w:cs="仿宋"/>
          <w:spacing w:val="-12"/>
          <w:sz w:val="24"/>
          <w:szCs w:val="24"/>
          <w:highlight w:val="none"/>
        </w:rPr>
        <w:t>委托代理期限</w:t>
      </w:r>
      <w:r>
        <w:rPr>
          <w:rFonts w:hint="eastAsia" w:ascii="仿宋" w:hAnsi="仿宋" w:eastAsia="仿宋" w:cs="仿宋"/>
          <w:spacing w:val="-12"/>
          <w:sz w:val="24"/>
          <w:szCs w:val="24"/>
          <w:highlight w:val="none"/>
          <w:lang w:eastAsia="zh-CN"/>
        </w:rPr>
        <w:t>：</w:t>
      </w:r>
      <w:r>
        <w:rPr>
          <w:rFonts w:hint="eastAsia" w:ascii="仿宋" w:hAnsi="仿宋" w:eastAsia="仿宋" w:cs="仿宋"/>
          <w:spacing w:val="-12"/>
          <w:sz w:val="24"/>
          <w:szCs w:val="24"/>
          <w:highlight w:val="none"/>
        </w:rPr>
        <w:t>单个诉讼案件委托期限为代理至诉讼流程闭环之日止。即合同到期后将不增加新案的委托代理，合同期间已委托的诉讼案件原则上由乙方继续代理至诉讼程序完结之日止。</w:t>
      </w:r>
    </w:p>
    <w:p w14:paraId="5063C0C6">
      <w:pPr>
        <w:shd w:val="clear" w:color="auto" w:fill="auto"/>
        <w:snapToGrid w:val="0"/>
        <w:spacing w:line="400" w:lineRule="exact"/>
        <w:ind w:firstLine="434" w:firstLineChars="200"/>
        <w:contextualSpacing/>
        <w:rPr>
          <w:rFonts w:hint="eastAsia" w:ascii="仿宋" w:hAnsi="仿宋" w:eastAsia="仿宋" w:cs="仿宋"/>
          <w:spacing w:val="-12"/>
          <w:kern w:val="0"/>
          <w:sz w:val="24"/>
          <w:szCs w:val="24"/>
          <w:highlight w:val="none"/>
          <w:lang w:eastAsia="zh-CN"/>
        </w:rPr>
      </w:pPr>
      <w:r>
        <w:rPr>
          <w:rFonts w:hint="eastAsia" w:ascii="仿宋" w:hAnsi="仿宋" w:eastAsia="仿宋" w:cs="仿宋"/>
          <w:b/>
          <w:bCs/>
          <w:spacing w:val="-12"/>
          <w:kern w:val="0"/>
          <w:sz w:val="24"/>
          <w:szCs w:val="24"/>
          <w:highlight w:val="none"/>
          <w:lang w:eastAsia="zh-CN"/>
        </w:rPr>
        <w:t>（四）乙方知悉并同意，如</w:t>
      </w:r>
      <w:r>
        <w:rPr>
          <w:rFonts w:hint="eastAsia" w:ascii="仿宋" w:hAnsi="仿宋" w:eastAsia="仿宋" w:cs="仿宋"/>
          <w:b/>
          <w:bCs/>
          <w:spacing w:val="-12"/>
          <w:kern w:val="0"/>
          <w:sz w:val="24"/>
          <w:szCs w:val="24"/>
          <w:highlight w:val="none"/>
        </w:rPr>
        <w:t>乙方出现以下</w:t>
      </w:r>
      <w:r>
        <w:rPr>
          <w:rFonts w:hint="eastAsia" w:ascii="仿宋" w:hAnsi="仿宋" w:eastAsia="仿宋" w:cs="仿宋"/>
          <w:b/>
          <w:bCs/>
          <w:spacing w:val="-12"/>
          <w:kern w:val="0"/>
          <w:sz w:val="24"/>
          <w:szCs w:val="24"/>
          <w:highlight w:val="none"/>
          <w:lang w:eastAsia="zh-CN"/>
        </w:rPr>
        <w:t>任一</w:t>
      </w:r>
      <w:r>
        <w:rPr>
          <w:rFonts w:hint="eastAsia" w:ascii="仿宋" w:hAnsi="仿宋" w:eastAsia="仿宋" w:cs="仿宋"/>
          <w:b/>
          <w:bCs/>
          <w:spacing w:val="-12"/>
          <w:kern w:val="0"/>
          <w:sz w:val="24"/>
          <w:szCs w:val="24"/>
          <w:highlight w:val="none"/>
        </w:rPr>
        <w:t>情况</w:t>
      </w:r>
      <w:r>
        <w:rPr>
          <w:rFonts w:hint="eastAsia" w:ascii="仿宋" w:hAnsi="仿宋" w:eastAsia="仿宋" w:cs="仿宋"/>
          <w:b/>
          <w:bCs/>
          <w:spacing w:val="-12"/>
          <w:kern w:val="0"/>
          <w:sz w:val="24"/>
          <w:szCs w:val="24"/>
          <w:highlight w:val="none"/>
          <w:lang w:eastAsia="zh-CN"/>
        </w:rPr>
        <w:t>的，</w:t>
      </w:r>
      <w:r>
        <w:rPr>
          <w:rFonts w:hint="eastAsia" w:ascii="仿宋" w:hAnsi="仿宋" w:eastAsia="仿宋" w:cs="仿宋"/>
          <w:b/>
          <w:bCs/>
          <w:spacing w:val="-12"/>
          <w:kern w:val="0"/>
          <w:sz w:val="24"/>
          <w:szCs w:val="24"/>
          <w:highlight w:val="none"/>
        </w:rPr>
        <w:t>甲方有权</w:t>
      </w:r>
      <w:r>
        <w:rPr>
          <w:rFonts w:hint="eastAsia" w:ascii="仿宋" w:hAnsi="仿宋" w:eastAsia="仿宋" w:cs="仿宋"/>
          <w:b/>
          <w:bCs/>
          <w:spacing w:val="-12"/>
          <w:kern w:val="0"/>
          <w:sz w:val="24"/>
          <w:szCs w:val="24"/>
          <w:highlight w:val="none"/>
          <w:lang w:eastAsia="zh-CN"/>
        </w:rPr>
        <w:t>单方终止本合同且无需承担任何违约责任：</w:t>
      </w:r>
    </w:p>
    <w:p w14:paraId="0033A89C">
      <w:pPr>
        <w:pStyle w:val="11"/>
        <w:shd w:val="clear" w:color="auto" w:fill="auto"/>
        <w:snapToGrid w:val="0"/>
        <w:spacing w:line="400" w:lineRule="exact"/>
        <w:ind w:firstLine="432" w:firstLineChars="200"/>
        <w:contextualSpacing/>
        <w:rPr>
          <w:rFonts w:hint="eastAsia" w:ascii="仿宋" w:hAnsi="仿宋" w:eastAsia="仿宋" w:cs="仿宋"/>
          <w:spacing w:val="-12"/>
          <w:kern w:val="0"/>
          <w:sz w:val="24"/>
          <w:highlight w:val="none"/>
          <w:lang w:val="en-US" w:eastAsia="zh-CN"/>
        </w:rPr>
      </w:pPr>
      <w:r>
        <w:rPr>
          <w:rFonts w:hint="eastAsia" w:ascii="仿宋" w:hAnsi="仿宋" w:eastAsia="仿宋" w:cs="仿宋"/>
          <w:spacing w:val="-12"/>
          <w:kern w:val="0"/>
          <w:sz w:val="24"/>
          <w:highlight w:val="none"/>
          <w:lang w:val="en-US" w:eastAsia="zh-CN"/>
        </w:rPr>
        <w:t>1、未通过甲方要求的考核目标（本合同</w:t>
      </w:r>
      <w:r>
        <w:rPr>
          <w:rFonts w:hint="eastAsia" w:ascii="仿宋" w:hAnsi="仿宋" w:eastAsia="仿宋" w:cs="仿宋"/>
          <w:b w:val="0"/>
          <w:bCs w:val="0"/>
          <w:color w:val="auto"/>
          <w:spacing w:val="-12"/>
          <w:sz w:val="24"/>
          <w:szCs w:val="28"/>
          <w:highlight w:val="none"/>
          <w:shd w:val="clear" w:color="auto" w:fill="FFFFFF"/>
          <w:lang w:val="en-US" w:eastAsia="zh-CN" w:bidi="ar"/>
        </w:rPr>
        <w:t>周期内未完成甲方</w:t>
      </w:r>
      <w:r>
        <w:rPr>
          <w:rFonts w:hint="eastAsia" w:ascii="仿宋" w:hAnsi="仿宋" w:eastAsia="仿宋" w:cs="仿宋"/>
          <w:b w:val="0"/>
          <w:bCs w:val="0"/>
          <w:spacing w:val="-12"/>
          <w:sz w:val="24"/>
          <w:szCs w:val="28"/>
          <w:highlight w:val="none"/>
          <w:shd w:val="clear" w:color="auto" w:fill="auto"/>
          <w:lang w:val="en-US" w:eastAsia="zh-CN" w:bidi="ar"/>
        </w:rPr>
        <w:t>设立的</w:t>
      </w:r>
      <w:r>
        <w:rPr>
          <w:rFonts w:hint="eastAsia" w:ascii="仿宋" w:hAnsi="仿宋" w:eastAsia="仿宋" w:cs="仿宋"/>
          <w:b w:val="0"/>
          <w:bCs w:val="0"/>
          <w:color w:val="auto"/>
          <w:spacing w:val="-12"/>
          <w:sz w:val="24"/>
          <w:szCs w:val="28"/>
          <w:highlight w:val="none"/>
          <w:shd w:val="clear" w:color="auto" w:fill="FFFFFF"/>
          <w:lang w:val="en-US" w:eastAsia="zh-CN" w:bidi="ar"/>
        </w:rPr>
        <w:t>立案考核目标）</w:t>
      </w:r>
      <w:r>
        <w:rPr>
          <w:rFonts w:hint="eastAsia" w:ascii="仿宋" w:hAnsi="仿宋" w:eastAsia="仿宋" w:cs="仿宋"/>
          <w:spacing w:val="-12"/>
          <w:kern w:val="0"/>
          <w:sz w:val="24"/>
          <w:highlight w:val="none"/>
          <w:lang w:val="en-US" w:eastAsia="zh-CN"/>
        </w:rPr>
        <w:t>；</w:t>
      </w:r>
    </w:p>
    <w:p w14:paraId="03B6DBB3">
      <w:pPr>
        <w:pStyle w:val="11"/>
        <w:shd w:val="clear" w:color="auto" w:fill="auto"/>
        <w:snapToGrid w:val="0"/>
        <w:spacing w:line="400" w:lineRule="exact"/>
        <w:ind w:firstLine="432" w:firstLineChars="200"/>
        <w:contextualSpacing/>
        <w:rPr>
          <w:rFonts w:hint="eastAsia" w:ascii="仿宋" w:hAnsi="仿宋" w:eastAsia="仿宋" w:cs="仿宋"/>
          <w:spacing w:val="-12"/>
          <w:kern w:val="0"/>
          <w:sz w:val="24"/>
          <w:szCs w:val="24"/>
          <w:highlight w:val="none"/>
          <w:lang w:val="en-US" w:eastAsia="zh-CN" w:bidi="ar-SA"/>
        </w:rPr>
      </w:pPr>
      <w:r>
        <w:rPr>
          <w:rFonts w:hint="eastAsia" w:ascii="仿宋" w:hAnsi="仿宋" w:eastAsia="仿宋" w:cs="仿宋"/>
          <w:spacing w:val="-12"/>
          <w:kern w:val="0"/>
          <w:sz w:val="24"/>
          <w:szCs w:val="24"/>
          <w:highlight w:val="none"/>
          <w:lang w:val="en-US" w:eastAsia="zh-CN"/>
        </w:rPr>
        <w:t>2、合作期间出现违反</w:t>
      </w:r>
      <w:r>
        <w:rPr>
          <w:rFonts w:hint="eastAsia" w:ascii="仿宋" w:hAnsi="仿宋" w:eastAsia="仿宋" w:cs="仿宋"/>
          <w:spacing w:val="-12"/>
          <w:kern w:val="0"/>
          <w:sz w:val="24"/>
          <w:szCs w:val="24"/>
          <w:highlight w:val="none"/>
          <w:lang w:val="en-US" w:eastAsia="zh-CN" w:bidi="ar-SA"/>
        </w:rPr>
        <w:t>本合同及附件内容的行为</w:t>
      </w:r>
      <w:r>
        <w:rPr>
          <w:rFonts w:hint="eastAsia" w:ascii="仿宋" w:hAnsi="仿宋" w:eastAsia="仿宋" w:cs="仿宋"/>
          <w:color w:val="000000"/>
          <w:spacing w:val="-12"/>
          <w:kern w:val="0"/>
          <w:sz w:val="24"/>
          <w:szCs w:val="24"/>
          <w:highlight w:val="none"/>
          <w:lang w:val="en-US" w:eastAsia="zh-CN" w:bidi="ar-SA"/>
        </w:rPr>
        <w:t>。</w:t>
      </w:r>
    </w:p>
    <w:p w14:paraId="4657AAE2">
      <w:pPr>
        <w:pStyle w:val="11"/>
        <w:shd w:val="clear" w:color="auto" w:fill="auto"/>
        <w:snapToGrid w:val="0"/>
        <w:spacing w:line="400" w:lineRule="exact"/>
        <w:ind w:firstLine="432" w:firstLineChars="200"/>
        <w:contextualSpacing/>
        <w:rPr>
          <w:rFonts w:hint="eastAsia" w:ascii="仿宋" w:hAnsi="仿宋" w:eastAsia="仿宋" w:cs="仿宋"/>
          <w:spacing w:val="-12"/>
          <w:sz w:val="24"/>
          <w:szCs w:val="24"/>
          <w:highlight w:val="none"/>
          <w:lang w:eastAsia="zh-CN"/>
        </w:rPr>
      </w:pPr>
    </w:p>
    <w:p w14:paraId="1833F0AB">
      <w:pPr>
        <w:pStyle w:val="11"/>
        <w:shd w:val="clear" w:color="auto" w:fill="auto"/>
        <w:snapToGrid w:val="0"/>
        <w:spacing w:line="400" w:lineRule="exact"/>
        <w:ind w:firstLine="432" w:firstLineChars="200"/>
        <w:contextualSpacing/>
        <w:rPr>
          <w:rFonts w:hint="eastAsia" w:ascii="仿宋" w:hAnsi="仿宋" w:eastAsia="仿宋" w:cs="仿宋"/>
          <w:spacing w:val="-12"/>
          <w:sz w:val="24"/>
          <w:szCs w:val="24"/>
          <w:highlight w:val="none"/>
        </w:rPr>
      </w:pPr>
    </w:p>
    <w:p w14:paraId="636F9E3F">
      <w:pPr>
        <w:shd w:val="clear" w:color="auto" w:fill="auto"/>
        <w:snapToGrid w:val="0"/>
        <w:spacing w:line="400" w:lineRule="exact"/>
        <w:contextualSpacing/>
        <w:jc w:val="center"/>
        <w:rPr>
          <w:rFonts w:hint="default" w:ascii="仿宋" w:hAnsi="仿宋" w:eastAsia="仿宋" w:cs="仿宋"/>
          <w:b/>
          <w:bCs/>
          <w:spacing w:val="-12"/>
          <w:sz w:val="24"/>
          <w:szCs w:val="24"/>
          <w:highlight w:val="none"/>
        </w:rPr>
      </w:pPr>
      <w:r>
        <w:rPr>
          <w:rFonts w:ascii="仿宋" w:hAnsi="仿宋" w:eastAsia="仿宋" w:cs="仿宋"/>
          <w:b/>
          <w:bCs/>
          <w:spacing w:val="-12"/>
          <w:sz w:val="24"/>
          <w:szCs w:val="24"/>
          <w:highlight w:val="none"/>
        </w:rPr>
        <w:t>五、甲方的权利与义务</w:t>
      </w:r>
    </w:p>
    <w:p w14:paraId="18A0B811">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rPr>
      </w:pPr>
      <w:r>
        <w:rPr>
          <w:rFonts w:hint="eastAsia" w:ascii="仿宋" w:hAnsi="仿宋" w:eastAsia="仿宋" w:cs="仿宋"/>
          <w:spacing w:val="-12"/>
          <w:sz w:val="24"/>
          <w:szCs w:val="24"/>
          <w:highlight w:val="none"/>
        </w:rPr>
        <w:t>（一）甲方应客观、详尽地向乙方代理律师陈述案件事实，如实提供与本案有关的证据材料；</w:t>
      </w:r>
    </w:p>
    <w:p w14:paraId="6D4C524F">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rPr>
      </w:pPr>
      <w:r>
        <w:rPr>
          <w:rFonts w:hint="eastAsia" w:ascii="仿宋" w:hAnsi="仿宋" w:eastAsia="仿宋" w:cs="仿宋"/>
          <w:spacing w:val="-12"/>
          <w:sz w:val="24"/>
          <w:szCs w:val="24"/>
          <w:highlight w:val="none"/>
        </w:rPr>
        <w:t>（二）甲方应按本合同约定及时支付律师代理费用；</w:t>
      </w:r>
    </w:p>
    <w:p w14:paraId="3E49BB78">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rPr>
      </w:pPr>
      <w:r>
        <w:rPr>
          <w:rFonts w:hint="eastAsia" w:ascii="仿宋" w:hAnsi="仿宋" w:eastAsia="仿宋" w:cs="仿宋"/>
          <w:spacing w:val="-12"/>
          <w:sz w:val="24"/>
          <w:szCs w:val="24"/>
          <w:highlight w:val="none"/>
        </w:rPr>
        <w:t>（三）甲方应对乙方代理律师代理法律事务给予必要协助；</w:t>
      </w:r>
    </w:p>
    <w:p w14:paraId="61AB8A44">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rPr>
      </w:pPr>
      <w:r>
        <w:rPr>
          <w:rFonts w:hint="eastAsia" w:ascii="仿宋" w:hAnsi="仿宋" w:eastAsia="仿宋" w:cs="仿宋"/>
          <w:spacing w:val="-12"/>
          <w:sz w:val="24"/>
          <w:szCs w:val="24"/>
          <w:highlight w:val="none"/>
        </w:rPr>
        <w:t>（四）有权随时检查、监督代理律师代理业务的办理进度、办案质量；</w:t>
      </w:r>
    </w:p>
    <w:p w14:paraId="5363681E">
      <w:pPr>
        <w:pStyle w:val="11"/>
        <w:shd w:val="clear" w:color="auto" w:fill="auto"/>
        <w:snapToGrid w:val="0"/>
        <w:spacing w:line="400" w:lineRule="exact"/>
        <w:ind w:firstLine="432" w:firstLineChars="200"/>
        <w:contextualSpacing/>
        <w:rPr>
          <w:rFonts w:hint="eastAsia" w:ascii="仿宋" w:hAnsi="仿宋" w:eastAsia="仿宋" w:cs="仿宋"/>
          <w:spacing w:val="-12"/>
          <w:sz w:val="24"/>
          <w:szCs w:val="24"/>
          <w:highlight w:val="none"/>
        </w:rPr>
      </w:pPr>
      <w:r>
        <w:rPr>
          <w:rFonts w:hint="eastAsia" w:ascii="仿宋" w:hAnsi="仿宋" w:eastAsia="仿宋" w:cs="仿宋"/>
          <w:spacing w:val="-12"/>
          <w:sz w:val="24"/>
          <w:szCs w:val="24"/>
          <w:highlight w:val="none"/>
        </w:rPr>
        <w:t>（五）有权向乙方了解有关本案的调查材料、代理意见，有权要求乙方提供与案件有关的材料；</w:t>
      </w:r>
    </w:p>
    <w:p w14:paraId="5FF97F1B">
      <w:pPr>
        <w:pStyle w:val="11"/>
        <w:shd w:val="clear" w:color="auto" w:fill="auto"/>
        <w:snapToGrid w:val="0"/>
        <w:spacing w:line="400" w:lineRule="exact"/>
        <w:ind w:firstLine="432" w:firstLineChars="200"/>
        <w:contextualSpacing/>
        <w:rPr>
          <w:rFonts w:hint="eastAsia" w:ascii="仿宋" w:hAnsi="仿宋" w:eastAsia="仿宋" w:cs="仿宋"/>
          <w:spacing w:val="-12"/>
          <w:sz w:val="24"/>
          <w:szCs w:val="24"/>
          <w:highlight w:val="none"/>
          <w:lang w:val="zh-CN"/>
        </w:rPr>
      </w:pPr>
      <w:r>
        <w:rPr>
          <w:rFonts w:hint="eastAsia" w:ascii="仿宋" w:hAnsi="仿宋" w:eastAsia="仿宋" w:cs="仿宋"/>
          <w:spacing w:val="-12"/>
          <w:sz w:val="24"/>
          <w:szCs w:val="24"/>
          <w:highlight w:val="none"/>
        </w:rPr>
        <w:t>（六）</w:t>
      </w:r>
      <w:r>
        <w:rPr>
          <w:rFonts w:hint="eastAsia" w:ascii="仿宋" w:hAnsi="仿宋" w:eastAsia="仿宋" w:cs="仿宋"/>
          <w:spacing w:val="-12"/>
          <w:sz w:val="24"/>
          <w:szCs w:val="24"/>
          <w:highlight w:val="none"/>
          <w:lang w:val="zh-CN"/>
        </w:rPr>
        <w:t>甲方有权根据需要指定甲方或甲方所属机构（总行）的任一分行/支行代甲方行使/履行本合同项下各项法律权利/义务，乙方同意放弃对此条款的异议权；</w:t>
      </w:r>
    </w:p>
    <w:p w14:paraId="581D031C">
      <w:pPr>
        <w:pStyle w:val="11"/>
        <w:shd w:val="clear" w:color="auto" w:fill="auto"/>
        <w:snapToGrid w:val="0"/>
        <w:spacing w:line="400" w:lineRule="exact"/>
        <w:ind w:firstLine="432" w:firstLineChars="200"/>
        <w:contextualSpacing/>
        <w:rPr>
          <w:rFonts w:hint="eastAsia" w:ascii="仿宋" w:hAnsi="仿宋" w:eastAsia="仿宋" w:cs="仿宋"/>
          <w:spacing w:val="-12"/>
          <w:sz w:val="24"/>
          <w:szCs w:val="24"/>
          <w:highlight w:val="none"/>
          <w:lang w:val="zh-CN"/>
        </w:rPr>
      </w:pPr>
      <w:r>
        <w:rPr>
          <w:rFonts w:hint="eastAsia" w:ascii="仿宋" w:hAnsi="仿宋" w:eastAsia="仿宋" w:cs="仿宋"/>
          <w:spacing w:val="-12"/>
          <w:sz w:val="24"/>
          <w:szCs w:val="24"/>
          <w:highlight w:val="none"/>
        </w:rPr>
        <w:t>（七）</w:t>
      </w:r>
      <w:r>
        <w:rPr>
          <w:rFonts w:hint="eastAsia" w:ascii="仿宋" w:hAnsi="仿宋" w:eastAsia="仿宋" w:cs="仿宋"/>
          <w:spacing w:val="-12"/>
          <w:sz w:val="24"/>
          <w:szCs w:val="24"/>
          <w:highlight w:val="none"/>
          <w:lang w:val="zh-CN"/>
        </w:rPr>
        <w:t>甲方有权根据乙方的信息安全保障以及委托代理成效、履约情况等条件，自行决定给予乙方的委托代理量，甚至暂停、停止新派案件；甲方在乙方代理期间有权根据实际情况提前结束部分案件的委托而无需支付任何违约费用（有回款的情形按其他约定履行）。</w:t>
      </w:r>
    </w:p>
    <w:p w14:paraId="35734794">
      <w:pPr>
        <w:pStyle w:val="11"/>
        <w:shd w:val="clear" w:color="auto" w:fill="auto"/>
        <w:snapToGrid w:val="0"/>
        <w:spacing w:line="400" w:lineRule="exact"/>
        <w:ind w:firstLine="432" w:firstLineChars="200"/>
        <w:contextualSpacing/>
        <w:rPr>
          <w:rFonts w:hint="eastAsia" w:ascii="仿宋" w:hAnsi="仿宋" w:eastAsia="仿宋" w:cs="仿宋"/>
          <w:spacing w:val="-12"/>
          <w:sz w:val="24"/>
          <w:szCs w:val="24"/>
          <w:highlight w:val="none"/>
          <w:lang w:val="zh-CN"/>
        </w:rPr>
      </w:pPr>
      <w:r>
        <w:rPr>
          <w:rFonts w:hint="eastAsia" w:ascii="仿宋" w:hAnsi="仿宋" w:eastAsia="仿宋" w:cs="仿宋"/>
          <w:spacing w:val="-12"/>
          <w:sz w:val="24"/>
          <w:szCs w:val="24"/>
          <w:highlight w:val="none"/>
          <w:lang w:val="zh-CN"/>
        </w:rPr>
        <w:t>（八）在合同有效期间内，甲方有权变更乙方的工作要求、目标等内容。如乙方在收到变更后的内容指令后一个工作日内未书面提出异议的，视为乙方接受。如乙方提出异议双方不能协商一致的，则视为提前解除合同，乙方应在</w:t>
      </w:r>
      <w:r>
        <w:rPr>
          <w:rFonts w:hint="eastAsia" w:ascii="仿宋" w:hAnsi="仿宋" w:eastAsia="仿宋" w:cs="仿宋"/>
          <w:spacing w:val="-12"/>
          <w:sz w:val="24"/>
          <w:szCs w:val="24"/>
          <w:highlight w:val="none"/>
          <w:lang w:val="en-US" w:eastAsia="zh-CN"/>
        </w:rPr>
        <w:t>20个工作日内</w:t>
      </w:r>
      <w:r>
        <w:rPr>
          <w:rFonts w:hint="eastAsia" w:ascii="仿宋" w:hAnsi="仿宋" w:eastAsia="仿宋" w:cs="仿宋"/>
          <w:spacing w:val="-12"/>
          <w:sz w:val="24"/>
          <w:szCs w:val="24"/>
          <w:highlight w:val="none"/>
          <w:lang w:val="zh-CN"/>
        </w:rPr>
        <w:t>将甲方所有资料返回及删除，并不得以任何方式留存。</w:t>
      </w:r>
    </w:p>
    <w:p w14:paraId="5A0C2821">
      <w:pPr>
        <w:pStyle w:val="11"/>
        <w:shd w:val="clear" w:color="auto" w:fill="auto"/>
        <w:snapToGrid w:val="0"/>
        <w:spacing w:line="400" w:lineRule="exact"/>
        <w:ind w:firstLine="432" w:firstLineChars="200"/>
        <w:contextualSpacing/>
        <w:rPr>
          <w:rFonts w:hint="eastAsia" w:ascii="仿宋" w:hAnsi="仿宋" w:eastAsia="仿宋" w:cs="仿宋"/>
          <w:spacing w:val="-12"/>
          <w:sz w:val="24"/>
          <w:szCs w:val="24"/>
          <w:highlight w:val="none"/>
          <w:lang w:val="zh-CN"/>
        </w:rPr>
      </w:pPr>
      <w:r>
        <w:rPr>
          <w:rFonts w:hint="eastAsia" w:ascii="仿宋" w:hAnsi="仿宋" w:eastAsia="仿宋" w:cs="仿宋"/>
          <w:spacing w:val="-12"/>
          <w:sz w:val="24"/>
          <w:szCs w:val="24"/>
          <w:highlight w:val="none"/>
          <w:lang w:val="zh-CN" w:eastAsia="zh-CN"/>
        </w:rPr>
        <w:t>（九）</w:t>
      </w:r>
      <w:r>
        <w:rPr>
          <w:rFonts w:hint="eastAsia" w:ascii="仿宋" w:hAnsi="仿宋" w:eastAsia="仿宋" w:cs="仿宋"/>
          <w:spacing w:val="-12"/>
          <w:sz w:val="24"/>
          <w:szCs w:val="24"/>
          <w:highlight w:val="none"/>
          <w:lang w:val="zh-CN"/>
        </w:rPr>
        <w:t>乙方为基础资产提供</w:t>
      </w:r>
      <w:r>
        <w:rPr>
          <w:rFonts w:hint="eastAsia" w:ascii="仿宋" w:hAnsi="仿宋" w:eastAsia="仿宋" w:cs="仿宋"/>
          <w:spacing w:val="-12"/>
          <w:sz w:val="24"/>
          <w:szCs w:val="24"/>
          <w:highlight w:val="none"/>
          <w:lang w:val="zh-CN" w:eastAsia="zh-CN"/>
        </w:rPr>
        <w:t>诉讼</w:t>
      </w:r>
      <w:r>
        <w:rPr>
          <w:rFonts w:hint="eastAsia" w:ascii="仿宋" w:hAnsi="仿宋" w:eastAsia="仿宋" w:cs="仿宋"/>
          <w:spacing w:val="-12"/>
          <w:sz w:val="24"/>
          <w:szCs w:val="24"/>
          <w:highlight w:val="none"/>
          <w:lang w:val="zh-CN"/>
        </w:rPr>
        <w:t>服务合理产生的服务费由乙方先行垫付，甲方在收到乙方为基础资产提供催收服务的服务费请款申请材料后30个工作日内向乙方支付款项，请款申请材料以甲方要求为准。</w:t>
      </w:r>
    </w:p>
    <w:p w14:paraId="0738A9DA">
      <w:pPr>
        <w:pStyle w:val="11"/>
        <w:shd w:val="clear" w:color="auto" w:fill="auto"/>
        <w:snapToGrid w:val="0"/>
        <w:spacing w:line="400" w:lineRule="exact"/>
        <w:ind w:firstLine="432" w:firstLineChars="200"/>
        <w:contextualSpacing/>
      </w:pPr>
      <w:r>
        <w:rPr>
          <w:rFonts w:hint="eastAsia" w:ascii="仿宋" w:hAnsi="仿宋" w:eastAsia="仿宋" w:cs="仿宋"/>
          <w:spacing w:val="-12"/>
          <w:sz w:val="24"/>
          <w:szCs w:val="24"/>
          <w:highlight w:val="none"/>
          <w:lang w:val="zh-CN" w:eastAsia="zh-CN"/>
        </w:rPr>
        <w:t>（十）</w:t>
      </w:r>
      <w:r>
        <w:rPr>
          <w:rFonts w:hint="eastAsia" w:ascii="仿宋" w:hAnsi="仿宋" w:eastAsia="仿宋" w:cs="仿宋"/>
          <w:spacing w:val="-12"/>
          <w:sz w:val="24"/>
          <w:szCs w:val="24"/>
          <w:highlight w:val="none"/>
          <w:lang w:val="zh-CN"/>
        </w:rPr>
        <w:t>甲方应及时通知乙方就相应金额的服务费开具以相应信托公司为抬头的发票，具体开票信息的时间要求以甲方发出的《关于信用卡催收服务委托事宜的特别通知》（简称“《特别通知》”为准，该特别通知的格式见附件四）。</w:t>
      </w:r>
    </w:p>
    <w:p w14:paraId="5F093563">
      <w:pPr>
        <w:pStyle w:val="11"/>
        <w:shd w:val="clear" w:color="auto" w:fill="auto"/>
        <w:snapToGrid w:val="0"/>
        <w:spacing w:line="400" w:lineRule="exact"/>
        <w:ind w:firstLine="480" w:firstLineChars="200"/>
        <w:contextualSpacing/>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(十一)甲乙双方合同到期或提前结束，乙方应在立即将甲方所有资料返回并不可恢复性删除，不得以任何方式留存。如合同到期前甲方已明确续约意向的除外。</w:t>
      </w:r>
    </w:p>
    <w:p w14:paraId="73924E59">
      <w:pPr>
        <w:pStyle w:val="11"/>
        <w:shd w:val="clear" w:color="auto" w:fill="auto"/>
        <w:snapToGrid w:val="0"/>
        <w:spacing w:line="400" w:lineRule="exact"/>
        <w:ind w:firstLine="400" w:firstLineChars="200"/>
        <w:contextualSpacing/>
        <w:rPr>
          <w:rFonts w:hint="eastAsia"/>
          <w:lang w:val="en-US" w:eastAsia="zh-CN"/>
        </w:rPr>
      </w:pPr>
    </w:p>
    <w:p w14:paraId="521064C1">
      <w:pPr>
        <w:pStyle w:val="11"/>
        <w:shd w:val="clear" w:color="auto" w:fill="auto"/>
        <w:snapToGrid w:val="0"/>
        <w:spacing w:line="400" w:lineRule="exact"/>
        <w:ind w:left="0" w:leftChars="0" w:firstLine="0" w:firstLineChars="0"/>
        <w:contextualSpacing/>
        <w:rPr>
          <w:rFonts w:hint="eastAsia" w:ascii="仿宋" w:hAnsi="仿宋" w:eastAsia="仿宋" w:cs="仿宋"/>
          <w:spacing w:val="-12"/>
          <w:sz w:val="24"/>
          <w:szCs w:val="24"/>
          <w:highlight w:val="none"/>
        </w:rPr>
      </w:pPr>
    </w:p>
    <w:p w14:paraId="061792E4">
      <w:pPr>
        <w:shd w:val="clear" w:color="auto" w:fill="auto"/>
        <w:snapToGrid w:val="0"/>
        <w:spacing w:line="400" w:lineRule="exact"/>
        <w:ind w:firstLine="600"/>
        <w:contextualSpacing/>
        <w:jc w:val="center"/>
        <w:rPr>
          <w:rFonts w:hint="default" w:ascii="仿宋" w:hAnsi="仿宋" w:eastAsia="仿宋" w:cs="仿宋"/>
          <w:b/>
          <w:bCs/>
          <w:spacing w:val="-12"/>
          <w:sz w:val="24"/>
          <w:szCs w:val="24"/>
          <w:highlight w:val="none"/>
        </w:rPr>
      </w:pPr>
      <w:r>
        <w:rPr>
          <w:rFonts w:ascii="仿宋" w:hAnsi="仿宋" w:eastAsia="仿宋" w:cs="仿宋"/>
          <w:b/>
          <w:bCs/>
          <w:spacing w:val="-12"/>
          <w:sz w:val="24"/>
          <w:szCs w:val="24"/>
          <w:highlight w:val="none"/>
        </w:rPr>
        <w:t>六、乙方的权利与义务</w:t>
      </w:r>
    </w:p>
    <w:p w14:paraId="395ACEFB">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rPr>
      </w:pPr>
      <w:r>
        <w:rPr>
          <w:rFonts w:hint="eastAsia" w:ascii="仿宋" w:hAnsi="仿宋" w:eastAsia="仿宋" w:cs="仿宋"/>
          <w:spacing w:val="-12"/>
          <w:sz w:val="24"/>
          <w:szCs w:val="24"/>
          <w:highlight w:val="none"/>
        </w:rPr>
        <w:t>（一）</w:t>
      </w:r>
      <w:r>
        <w:rPr>
          <w:rFonts w:hint="eastAsia" w:ascii="仿宋" w:hAnsi="仿宋" w:eastAsia="仿宋" w:cs="仿宋"/>
          <w:spacing w:val="-12"/>
          <w:sz w:val="24"/>
          <w:szCs w:val="24"/>
          <w:highlight w:val="none"/>
          <w:lang w:eastAsia="zh-CN"/>
        </w:rPr>
        <w:t>乙方</w:t>
      </w:r>
      <w:r>
        <w:rPr>
          <w:rFonts w:hint="eastAsia" w:ascii="仿宋" w:hAnsi="仿宋" w:eastAsia="仿宋" w:cs="仿宋"/>
          <w:spacing w:val="-12"/>
          <w:sz w:val="24"/>
          <w:szCs w:val="24"/>
          <w:highlight w:val="none"/>
        </w:rPr>
        <w:t>有权根据本合同约定的代理范围和权限，对本案进行代理工作，维护甲方合法权益，同时维护甲方声誉和形象；</w:t>
      </w:r>
    </w:p>
    <w:p w14:paraId="1557D71E">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rPr>
      </w:pPr>
      <w:r>
        <w:rPr>
          <w:rFonts w:hint="eastAsia" w:ascii="仿宋" w:hAnsi="仿宋" w:eastAsia="仿宋" w:cs="仿宋"/>
          <w:spacing w:val="-12"/>
          <w:sz w:val="24"/>
          <w:szCs w:val="24"/>
          <w:highlight w:val="none"/>
        </w:rPr>
        <w:t>（二）</w:t>
      </w:r>
      <w:r>
        <w:rPr>
          <w:rFonts w:hint="eastAsia" w:ascii="仿宋" w:hAnsi="仿宋" w:eastAsia="仿宋" w:cs="仿宋"/>
          <w:spacing w:val="-12"/>
          <w:sz w:val="24"/>
          <w:szCs w:val="24"/>
          <w:highlight w:val="none"/>
          <w:lang w:eastAsia="zh-CN"/>
        </w:rPr>
        <w:t>乙方</w:t>
      </w:r>
      <w:r>
        <w:rPr>
          <w:rFonts w:hint="eastAsia" w:ascii="仿宋" w:hAnsi="仿宋" w:eastAsia="仿宋" w:cs="仿宋"/>
          <w:spacing w:val="-12"/>
          <w:sz w:val="24"/>
          <w:szCs w:val="24"/>
          <w:highlight w:val="none"/>
        </w:rPr>
        <w:t>有权根据本合同约定支付条件和期限向甲方收取律师代理费；</w:t>
      </w:r>
    </w:p>
    <w:p w14:paraId="618E765D">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rPr>
      </w:pPr>
      <w:r>
        <w:rPr>
          <w:rFonts w:hint="eastAsia" w:ascii="仿宋" w:hAnsi="仿宋" w:eastAsia="仿宋" w:cs="仿宋"/>
          <w:spacing w:val="-12"/>
          <w:sz w:val="24"/>
          <w:szCs w:val="24"/>
          <w:highlight w:val="none"/>
        </w:rPr>
        <w:t>（三）</w:t>
      </w:r>
      <w:r>
        <w:rPr>
          <w:rFonts w:hint="eastAsia" w:ascii="仿宋" w:hAnsi="仿宋" w:eastAsia="仿宋" w:cs="仿宋"/>
          <w:spacing w:val="-12"/>
          <w:sz w:val="24"/>
          <w:szCs w:val="24"/>
          <w:highlight w:val="none"/>
          <w:lang w:eastAsia="zh-CN"/>
        </w:rPr>
        <w:t>乙方</w:t>
      </w:r>
      <w:r>
        <w:rPr>
          <w:rFonts w:hint="eastAsia" w:ascii="仿宋" w:hAnsi="仿宋" w:eastAsia="仿宋" w:cs="仿宋"/>
          <w:spacing w:val="-12"/>
          <w:sz w:val="24"/>
          <w:szCs w:val="24"/>
          <w:highlight w:val="none"/>
        </w:rPr>
        <w:t>有权要求甲方提供与所代理案件相关的材料，及时向甲方了解有关案件情况；</w:t>
      </w:r>
    </w:p>
    <w:p w14:paraId="604157C4">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rPr>
      </w:pPr>
      <w:r>
        <w:rPr>
          <w:rFonts w:hint="eastAsia" w:ascii="仿宋" w:hAnsi="仿宋" w:eastAsia="仿宋" w:cs="仿宋"/>
          <w:spacing w:val="-12"/>
          <w:sz w:val="24"/>
          <w:szCs w:val="24"/>
          <w:highlight w:val="none"/>
        </w:rPr>
        <w:t>（四）乙方义务：</w:t>
      </w:r>
    </w:p>
    <w:p w14:paraId="1860CAD3">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rPr>
      </w:pPr>
      <w:r>
        <w:rPr>
          <w:rFonts w:hint="eastAsia" w:ascii="仿宋" w:hAnsi="仿宋" w:eastAsia="仿宋" w:cs="仿宋"/>
          <w:spacing w:val="-12"/>
          <w:sz w:val="24"/>
          <w:szCs w:val="24"/>
          <w:highlight w:val="none"/>
        </w:rPr>
        <w:t>1、乙方的一般义务：</w:t>
      </w:r>
    </w:p>
    <w:p w14:paraId="630D2F2D">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rPr>
      </w:pPr>
      <w:r>
        <w:rPr>
          <w:rFonts w:hint="eastAsia" w:ascii="仿宋" w:hAnsi="仿宋" w:eastAsia="仿宋" w:cs="仿宋"/>
          <w:spacing w:val="-12"/>
          <w:sz w:val="24"/>
          <w:szCs w:val="24"/>
          <w:highlight w:val="none"/>
        </w:rPr>
        <w:t>（1）乙方应指派与承办案件所要求的能力和经验相符合的律师作为委托事项的承办律师，所指派的承办律师应得到甲方的认可，非经甲方书面同意，乙方不得随意更换承办律师</w:t>
      </w:r>
      <w:r>
        <w:rPr>
          <w:rFonts w:hint="eastAsia" w:ascii="仿宋" w:hAnsi="仿宋" w:eastAsia="仿宋" w:cs="仿宋"/>
          <w:spacing w:val="-12"/>
          <w:sz w:val="24"/>
          <w:szCs w:val="24"/>
          <w:highlight w:val="none"/>
          <w:lang w:eastAsia="zh-CN"/>
        </w:rPr>
        <w:t>；</w:t>
      </w:r>
    </w:p>
    <w:p w14:paraId="5A2E0D5E">
      <w:pPr>
        <w:shd w:val="clear" w:color="auto" w:fill="auto"/>
        <w:snapToGrid w:val="0"/>
        <w:spacing w:line="400" w:lineRule="exact"/>
        <w:ind w:firstLine="600"/>
        <w:contextualSpacing/>
        <w:rPr>
          <w:rFonts w:hint="eastAsia" w:ascii="仿宋" w:hAnsi="仿宋" w:eastAsia="仿宋" w:cs="仿宋"/>
          <w:spacing w:val="-12"/>
          <w:sz w:val="24"/>
          <w:szCs w:val="24"/>
          <w:highlight w:val="none"/>
          <w:lang w:eastAsia="zh-CN"/>
        </w:rPr>
      </w:pPr>
      <w:r>
        <w:rPr>
          <w:rFonts w:ascii="仿宋" w:hAnsi="仿宋" w:eastAsia="仿宋" w:cs="仿宋"/>
          <w:spacing w:val="-12"/>
          <w:sz w:val="24"/>
          <w:szCs w:val="24"/>
          <w:highlight w:val="none"/>
        </w:rPr>
        <w:t>在办理案件的过程中，承办律师因故不能履行职责的，乙方应及时将上述情况书面通知甲方并另行指派合适的律师作为承办律师，更换后的承办律师应取得甲方书面同意</w:t>
      </w:r>
      <w:r>
        <w:rPr>
          <w:rFonts w:hint="eastAsia" w:ascii="仿宋" w:hAnsi="仿宋" w:eastAsia="仿宋" w:cs="仿宋"/>
          <w:spacing w:val="-12"/>
          <w:sz w:val="24"/>
          <w:szCs w:val="24"/>
          <w:highlight w:val="none"/>
          <w:lang w:eastAsia="zh-CN"/>
        </w:rPr>
        <w:t>；</w:t>
      </w:r>
    </w:p>
    <w:p w14:paraId="5FC53183">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rPr>
      </w:pPr>
      <w:r>
        <w:rPr>
          <w:rFonts w:hint="eastAsia" w:ascii="仿宋" w:hAnsi="仿宋" w:eastAsia="仿宋" w:cs="仿宋"/>
          <w:spacing w:val="-12"/>
          <w:sz w:val="24"/>
          <w:szCs w:val="24"/>
          <w:highlight w:val="none"/>
          <w:lang w:val="zh-CN"/>
        </w:rPr>
        <w:t>（</w:t>
      </w:r>
      <w:r>
        <w:rPr>
          <w:rFonts w:hint="eastAsia" w:ascii="仿宋" w:hAnsi="仿宋" w:eastAsia="仿宋" w:cs="仿宋"/>
          <w:spacing w:val="-12"/>
          <w:sz w:val="24"/>
          <w:szCs w:val="24"/>
          <w:highlight w:val="none"/>
        </w:rPr>
        <w:t>2</w:t>
      </w:r>
      <w:r>
        <w:rPr>
          <w:rFonts w:hint="eastAsia" w:ascii="仿宋" w:hAnsi="仿宋" w:eastAsia="仿宋" w:cs="仿宋"/>
          <w:spacing w:val="-12"/>
          <w:sz w:val="24"/>
          <w:szCs w:val="24"/>
          <w:highlight w:val="none"/>
          <w:lang w:val="zh-CN"/>
        </w:rPr>
        <w:t>）</w:t>
      </w:r>
      <w:r>
        <w:rPr>
          <w:rFonts w:hint="eastAsia" w:ascii="仿宋" w:hAnsi="仿宋" w:eastAsia="仿宋" w:cs="仿宋"/>
          <w:spacing w:val="-12"/>
          <w:sz w:val="24"/>
          <w:szCs w:val="24"/>
          <w:highlight w:val="none"/>
        </w:rPr>
        <w:t>乙方应恪守律师职业道德，以尽职勤勉的态度在授权范围内依法维护甲方的合法权益，保守办案中了解的甲方商业秘密。非经甲方书面同意或法律规定，不得向第三方提供信息，不得故意或过失将案件情况泄露给他人，该义务不因本协议的解除或终止而解除</w:t>
      </w:r>
      <w:r>
        <w:rPr>
          <w:rFonts w:hint="eastAsia" w:ascii="仿宋" w:hAnsi="仿宋" w:eastAsia="仿宋" w:cs="仿宋"/>
          <w:spacing w:val="-12"/>
          <w:sz w:val="24"/>
          <w:szCs w:val="24"/>
          <w:highlight w:val="none"/>
          <w:lang w:eastAsia="zh-CN"/>
        </w:rPr>
        <w:t>；</w:t>
      </w:r>
    </w:p>
    <w:p w14:paraId="0FC884EB">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rPr>
      </w:pPr>
      <w:r>
        <w:rPr>
          <w:rFonts w:hint="eastAsia" w:ascii="仿宋" w:hAnsi="仿宋" w:eastAsia="仿宋" w:cs="仿宋"/>
          <w:spacing w:val="-12"/>
          <w:sz w:val="24"/>
          <w:szCs w:val="24"/>
          <w:highlight w:val="none"/>
        </w:rPr>
        <w:t>（3）乙方接受委托后，受指派的律师不得拒绝提供本合同项下的法律服务，不得擅自终止义务，不得与逾期客户串通（包括但不限于私自接受逾期客户宴请送礼等），损害甲方利益；</w:t>
      </w:r>
    </w:p>
    <w:p w14:paraId="648307F5">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rPr>
      </w:pPr>
      <w:r>
        <w:rPr>
          <w:rFonts w:hint="eastAsia" w:ascii="仿宋" w:hAnsi="仿宋" w:eastAsia="仿宋" w:cs="仿宋"/>
          <w:spacing w:val="-12"/>
          <w:sz w:val="24"/>
          <w:szCs w:val="24"/>
          <w:highlight w:val="none"/>
        </w:rPr>
        <w:t>（4）乙方须保证乙方事务所的律师不得作为甲方委托事项的对方的代理人。</w:t>
      </w:r>
    </w:p>
    <w:p w14:paraId="4D124AEE">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rPr>
      </w:pPr>
      <w:r>
        <w:rPr>
          <w:rFonts w:hint="eastAsia" w:ascii="仿宋" w:hAnsi="仿宋" w:eastAsia="仿宋" w:cs="仿宋"/>
          <w:spacing w:val="-12"/>
          <w:sz w:val="24"/>
          <w:szCs w:val="24"/>
          <w:highlight w:val="none"/>
        </w:rPr>
        <w:t>（5）除甲方有一定明确方向的建议需求外，乙方应就受托事务有关的所有法律问题及直接与受托事务执行相关的业务问题向甲方进行全面的及尽可能详尽的告知。乙方应就达成诉讼、执行目标的各个适当步骤予以建议，就可预见及可避免的不利情况予以防止；</w:t>
      </w:r>
    </w:p>
    <w:p w14:paraId="2E7A6E76">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lang w:val="zh-CN"/>
        </w:rPr>
      </w:pPr>
      <w:r>
        <w:rPr>
          <w:rFonts w:hint="eastAsia" w:ascii="仿宋" w:hAnsi="仿宋" w:eastAsia="仿宋" w:cs="仿宋"/>
          <w:spacing w:val="-12"/>
          <w:sz w:val="24"/>
          <w:szCs w:val="24"/>
          <w:highlight w:val="none"/>
          <w:lang w:val="zh-CN"/>
        </w:rPr>
        <w:t>（</w:t>
      </w:r>
      <w:r>
        <w:rPr>
          <w:rFonts w:hint="eastAsia" w:ascii="仿宋" w:hAnsi="仿宋" w:eastAsia="仿宋" w:cs="仿宋"/>
          <w:spacing w:val="-12"/>
          <w:sz w:val="24"/>
          <w:szCs w:val="24"/>
          <w:highlight w:val="none"/>
        </w:rPr>
        <w:t>6</w:t>
      </w:r>
      <w:r>
        <w:rPr>
          <w:rFonts w:hint="eastAsia" w:ascii="仿宋" w:hAnsi="仿宋" w:eastAsia="仿宋" w:cs="仿宋"/>
          <w:spacing w:val="-12"/>
          <w:sz w:val="24"/>
          <w:szCs w:val="24"/>
          <w:highlight w:val="none"/>
          <w:lang w:val="zh-CN"/>
        </w:rPr>
        <w:t>）乙方对甲方业务应当单独建档，对涉及甲方的法律文件和财物应当妥善保管并记录；</w:t>
      </w:r>
    </w:p>
    <w:p w14:paraId="5C7256E6">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lang w:val="zh-CN"/>
        </w:rPr>
      </w:pPr>
      <w:r>
        <w:rPr>
          <w:rFonts w:hint="eastAsia" w:ascii="仿宋" w:hAnsi="仿宋" w:eastAsia="仿宋" w:cs="仿宋"/>
          <w:spacing w:val="-12"/>
          <w:sz w:val="24"/>
          <w:szCs w:val="24"/>
          <w:highlight w:val="none"/>
          <w:lang w:val="zh-CN"/>
        </w:rPr>
        <w:t>（</w:t>
      </w:r>
      <w:r>
        <w:rPr>
          <w:rFonts w:hint="eastAsia" w:ascii="仿宋" w:hAnsi="仿宋" w:eastAsia="仿宋" w:cs="仿宋"/>
          <w:spacing w:val="-12"/>
          <w:sz w:val="24"/>
          <w:szCs w:val="24"/>
          <w:highlight w:val="none"/>
        </w:rPr>
        <w:t>7</w:t>
      </w:r>
      <w:r>
        <w:rPr>
          <w:rFonts w:hint="eastAsia" w:ascii="仿宋" w:hAnsi="仿宋" w:eastAsia="仿宋" w:cs="仿宋"/>
          <w:spacing w:val="-12"/>
          <w:sz w:val="24"/>
          <w:szCs w:val="24"/>
          <w:highlight w:val="none"/>
          <w:lang w:val="zh-CN"/>
        </w:rPr>
        <w:t>）一般情况下，乙方不收取甲方案件材料的原件。乙方需要调用甲方证据材料原件的，应向甲方提出书面申请并签收，用毕应立即归还；</w:t>
      </w:r>
    </w:p>
    <w:p w14:paraId="2E0CE8F3">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lang w:val="zh-CN"/>
        </w:rPr>
      </w:pPr>
      <w:r>
        <w:rPr>
          <w:rFonts w:hint="eastAsia" w:ascii="仿宋" w:hAnsi="仿宋" w:eastAsia="仿宋" w:cs="仿宋"/>
          <w:spacing w:val="-12"/>
          <w:sz w:val="24"/>
          <w:szCs w:val="24"/>
          <w:highlight w:val="none"/>
          <w:lang w:val="zh-CN"/>
        </w:rPr>
        <w:t>（</w:t>
      </w:r>
      <w:r>
        <w:rPr>
          <w:rFonts w:hint="eastAsia" w:ascii="仿宋" w:hAnsi="仿宋" w:eastAsia="仿宋" w:cs="仿宋"/>
          <w:spacing w:val="-12"/>
          <w:sz w:val="24"/>
          <w:szCs w:val="24"/>
          <w:highlight w:val="none"/>
        </w:rPr>
        <w:t>8</w:t>
      </w:r>
      <w:r>
        <w:rPr>
          <w:rFonts w:hint="eastAsia" w:ascii="仿宋" w:hAnsi="仿宋" w:eastAsia="仿宋" w:cs="仿宋"/>
          <w:spacing w:val="-12"/>
          <w:sz w:val="24"/>
          <w:szCs w:val="24"/>
          <w:highlight w:val="none"/>
          <w:lang w:val="zh-CN"/>
        </w:rPr>
        <w:t>）乙方因从事本合同项下的委托代理事项而从甲方的债务人、债务人的担保人或其他代甲方的债务人承担还款责任的人或单位清收款项时，需指引还款人将款项直接存入债务人的信用卡欠款账户或其他甲方指定的账户内，不能直接转入乙方账户或其它账户，也不能委托个人代收。</w:t>
      </w:r>
    </w:p>
    <w:p w14:paraId="1D51702D">
      <w:pPr>
        <w:shd w:val="clear" w:color="auto" w:fill="auto"/>
        <w:snapToGrid w:val="0"/>
        <w:spacing w:line="400" w:lineRule="exact"/>
        <w:ind w:firstLine="432" w:firstLineChars="200"/>
        <w:contextualSpacing/>
        <w:rPr>
          <w:rFonts w:hint="default" w:ascii="仿宋" w:hAnsi="仿宋" w:eastAsia="仿宋" w:cs="仿宋"/>
          <w:spacing w:val="-12"/>
          <w:sz w:val="24"/>
          <w:szCs w:val="24"/>
          <w:highlight w:val="none"/>
        </w:rPr>
      </w:pPr>
      <w:r>
        <w:rPr>
          <w:rFonts w:ascii="仿宋" w:hAnsi="仿宋" w:eastAsia="仿宋" w:cs="仿宋"/>
          <w:spacing w:val="-12"/>
          <w:sz w:val="24"/>
          <w:szCs w:val="24"/>
          <w:highlight w:val="none"/>
          <w:lang w:val="zh-CN"/>
        </w:rPr>
        <w:t>（</w:t>
      </w:r>
      <w:r>
        <w:rPr>
          <w:rFonts w:ascii="仿宋" w:hAnsi="仿宋" w:eastAsia="仿宋" w:cs="仿宋"/>
          <w:spacing w:val="-12"/>
          <w:sz w:val="24"/>
          <w:szCs w:val="24"/>
          <w:highlight w:val="none"/>
        </w:rPr>
        <w:t>9</w:t>
      </w:r>
      <w:r>
        <w:rPr>
          <w:rFonts w:ascii="仿宋" w:hAnsi="仿宋" w:eastAsia="仿宋" w:cs="仿宋"/>
          <w:spacing w:val="-12"/>
          <w:sz w:val="24"/>
          <w:szCs w:val="24"/>
          <w:highlight w:val="none"/>
          <w:lang w:val="zh-CN"/>
        </w:rPr>
        <w:t>）</w:t>
      </w:r>
      <w:r>
        <w:rPr>
          <w:rFonts w:ascii="仿宋" w:hAnsi="仿宋" w:eastAsia="仿宋" w:cs="仿宋"/>
          <w:spacing w:val="-12"/>
          <w:sz w:val="24"/>
          <w:szCs w:val="24"/>
          <w:highlight w:val="none"/>
        </w:rPr>
        <w:t>委托期限届满后，承办律师未经甲方书面同意不得进行无权代理，应立即停止所有代理工作。</w:t>
      </w:r>
    </w:p>
    <w:p w14:paraId="74947421">
      <w:pPr>
        <w:shd w:val="clear" w:color="auto" w:fill="auto"/>
        <w:snapToGrid w:val="0"/>
        <w:spacing w:line="400" w:lineRule="exact"/>
        <w:ind w:firstLine="432" w:firstLineChars="200"/>
        <w:contextualSpacing/>
        <w:rPr>
          <w:rFonts w:hint="default" w:ascii="仿宋" w:hAnsi="仿宋" w:eastAsia="仿宋" w:cs="仿宋"/>
          <w:spacing w:val="-12"/>
          <w:sz w:val="24"/>
          <w:szCs w:val="24"/>
          <w:highlight w:val="none"/>
        </w:rPr>
      </w:pPr>
      <w:r>
        <w:rPr>
          <w:rFonts w:ascii="仿宋" w:hAnsi="仿宋" w:eastAsia="仿宋" w:cs="仿宋"/>
          <w:spacing w:val="-12"/>
          <w:sz w:val="24"/>
          <w:szCs w:val="24"/>
          <w:highlight w:val="none"/>
        </w:rPr>
        <w:t>（10）对于甲方委托给乙方的诉讼案件，在案件委托期结束之后，对于该案件，乙方仍有义务根据甲方的要求：</w:t>
      </w:r>
    </w:p>
    <w:p w14:paraId="50E44A74">
      <w:pPr>
        <w:shd w:val="clear" w:color="auto" w:fill="auto"/>
        <w:snapToGrid w:val="0"/>
        <w:spacing w:line="400" w:lineRule="exact"/>
        <w:ind w:firstLine="600"/>
        <w:contextualSpacing/>
        <w:rPr>
          <w:rFonts w:hint="default" w:ascii="仿宋" w:hAnsi="仿宋" w:eastAsia="仿宋" w:cs="仿宋"/>
          <w:spacing w:val="-12"/>
          <w:sz w:val="24"/>
          <w:szCs w:val="24"/>
          <w:highlight w:val="none"/>
        </w:rPr>
      </w:pPr>
      <w:r>
        <w:rPr>
          <w:rFonts w:hint="default" w:ascii="Calibri" w:hAnsi="Calibri" w:eastAsia="仿宋" w:cs="Calibri"/>
          <w:color w:val="auto"/>
          <w:spacing w:val="-12"/>
          <w:sz w:val="20"/>
          <w:szCs w:val="20"/>
          <w:highlight w:val="none"/>
          <w:shd w:val="clear" w:color="auto" w:fill="auto"/>
          <w:lang w:val="en-US" w:eastAsia="zh-CN" w:bidi="ar"/>
        </w:rPr>
        <w:t>①</w:t>
      </w:r>
      <w:r>
        <w:rPr>
          <w:rFonts w:ascii="仿宋" w:hAnsi="仿宋" w:eastAsia="仿宋" w:cs="仿宋"/>
          <w:spacing w:val="-12"/>
          <w:sz w:val="24"/>
          <w:szCs w:val="24"/>
          <w:highlight w:val="none"/>
        </w:rPr>
        <w:t>免费负责协助甲方办理案件执行结案程序，包括解除之前代理案件所属持卡人的限高、失信黑名单等强制性法律措施；</w:t>
      </w:r>
    </w:p>
    <w:p w14:paraId="2B17BCF6">
      <w:pPr>
        <w:shd w:val="clear" w:color="auto" w:fill="auto"/>
        <w:snapToGrid w:val="0"/>
        <w:spacing w:line="400" w:lineRule="exact"/>
        <w:ind w:firstLine="600"/>
        <w:contextualSpacing/>
        <w:rPr>
          <w:rFonts w:hint="default" w:ascii="仿宋" w:hAnsi="仿宋" w:eastAsia="仿宋" w:cs="仿宋"/>
          <w:spacing w:val="-12"/>
          <w:sz w:val="24"/>
          <w:szCs w:val="24"/>
          <w:highlight w:val="none"/>
        </w:rPr>
      </w:pPr>
      <w:r>
        <w:rPr>
          <w:rFonts w:hint="default" w:ascii="Calibri" w:hAnsi="Calibri" w:eastAsia="仿宋" w:cs="Calibri"/>
          <w:color w:val="auto"/>
          <w:spacing w:val="-12"/>
          <w:sz w:val="20"/>
          <w:szCs w:val="20"/>
          <w:highlight w:val="none"/>
          <w:shd w:val="clear" w:color="auto" w:fill="auto"/>
          <w:lang w:val="en-US" w:eastAsia="zh-CN" w:bidi="ar"/>
        </w:rPr>
        <w:t>②</w:t>
      </w:r>
      <w:r>
        <w:rPr>
          <w:rFonts w:ascii="仿宋" w:hAnsi="仿宋" w:eastAsia="仿宋" w:cs="仿宋"/>
          <w:spacing w:val="-12"/>
          <w:sz w:val="24"/>
          <w:szCs w:val="24"/>
          <w:highlight w:val="none"/>
        </w:rPr>
        <w:t>免费协助甲方向法院申请恢复执行；</w:t>
      </w:r>
    </w:p>
    <w:p w14:paraId="0A321A99">
      <w:pPr>
        <w:shd w:val="clear" w:color="auto" w:fill="auto"/>
        <w:snapToGrid w:val="0"/>
        <w:spacing w:line="400" w:lineRule="exact"/>
        <w:ind w:firstLine="600"/>
        <w:contextualSpacing/>
        <w:rPr>
          <w:rFonts w:hint="default" w:ascii="仿宋" w:hAnsi="仿宋" w:eastAsia="仿宋" w:cs="仿宋"/>
          <w:spacing w:val="-12"/>
          <w:sz w:val="24"/>
          <w:szCs w:val="24"/>
          <w:highlight w:val="none"/>
        </w:rPr>
      </w:pPr>
      <w:r>
        <w:rPr>
          <w:rFonts w:hint="default" w:ascii="Calibri" w:hAnsi="Calibri" w:eastAsia="仿宋" w:cs="Calibri"/>
          <w:color w:val="auto"/>
          <w:spacing w:val="-12"/>
          <w:sz w:val="20"/>
          <w:szCs w:val="20"/>
          <w:highlight w:val="none"/>
          <w:shd w:val="clear" w:color="auto" w:fill="auto"/>
          <w:lang w:val="en-US" w:eastAsia="zh-CN" w:bidi="ar"/>
        </w:rPr>
        <w:t>③</w:t>
      </w:r>
      <w:r>
        <w:rPr>
          <w:rFonts w:ascii="仿宋" w:hAnsi="仿宋" w:eastAsia="仿宋" w:cs="仿宋"/>
          <w:spacing w:val="-12"/>
          <w:sz w:val="24"/>
          <w:szCs w:val="24"/>
          <w:highlight w:val="none"/>
        </w:rPr>
        <w:t>免费协助处理甲方诉讼客户提出的上诉或反诉案件；</w:t>
      </w:r>
    </w:p>
    <w:p w14:paraId="105B1861">
      <w:pPr>
        <w:shd w:val="clear" w:color="auto" w:fill="auto"/>
        <w:snapToGrid w:val="0"/>
        <w:spacing w:line="400" w:lineRule="exact"/>
        <w:ind w:firstLine="600"/>
        <w:contextualSpacing/>
        <w:rPr>
          <w:rFonts w:hint="default" w:ascii="仿宋" w:hAnsi="仿宋" w:eastAsia="仿宋" w:cs="仿宋"/>
          <w:spacing w:val="-12"/>
          <w:sz w:val="24"/>
          <w:szCs w:val="24"/>
          <w:highlight w:val="none"/>
        </w:rPr>
      </w:pPr>
      <w:r>
        <w:rPr>
          <w:rFonts w:hint="default" w:ascii="Calibri" w:hAnsi="Calibri" w:eastAsia="仿宋" w:cs="Calibri"/>
          <w:color w:val="auto"/>
          <w:spacing w:val="-12"/>
          <w:sz w:val="20"/>
          <w:szCs w:val="20"/>
          <w:highlight w:val="none"/>
          <w:shd w:val="clear" w:color="auto" w:fill="auto"/>
          <w:lang w:val="en-US" w:eastAsia="zh-CN" w:bidi="ar"/>
        </w:rPr>
        <w:t>④</w:t>
      </w:r>
      <w:r>
        <w:rPr>
          <w:rFonts w:ascii="仿宋" w:hAnsi="仿宋" w:eastAsia="仿宋" w:cs="仿宋"/>
          <w:spacing w:val="-12"/>
          <w:sz w:val="24"/>
          <w:szCs w:val="24"/>
          <w:highlight w:val="none"/>
        </w:rPr>
        <w:t>免费协助处理在案件委托期限内涉及到的投诉事件；</w:t>
      </w:r>
    </w:p>
    <w:p w14:paraId="5BE6DB44">
      <w:pPr>
        <w:shd w:val="clear" w:color="auto" w:fill="auto"/>
        <w:snapToGrid w:val="0"/>
        <w:spacing w:line="400" w:lineRule="exact"/>
        <w:ind w:firstLine="600"/>
        <w:contextualSpacing/>
        <w:rPr>
          <w:rFonts w:hint="default" w:ascii="仿宋" w:hAnsi="仿宋" w:eastAsia="仿宋" w:cs="仿宋"/>
          <w:spacing w:val="-12"/>
          <w:sz w:val="24"/>
          <w:szCs w:val="24"/>
          <w:highlight w:val="none"/>
        </w:rPr>
      </w:pPr>
      <w:r>
        <w:rPr>
          <w:rFonts w:hint="default" w:ascii="Calibri" w:hAnsi="Calibri" w:eastAsia="仿宋" w:cs="Calibri"/>
          <w:color w:val="auto"/>
          <w:spacing w:val="-12"/>
          <w:sz w:val="20"/>
          <w:szCs w:val="20"/>
          <w:highlight w:val="none"/>
          <w:shd w:val="clear" w:color="auto" w:fill="auto"/>
          <w:lang w:val="en-US" w:eastAsia="zh-CN" w:bidi="ar"/>
        </w:rPr>
        <w:t>⑤</w:t>
      </w:r>
      <w:r>
        <w:rPr>
          <w:rFonts w:ascii="仿宋" w:hAnsi="仿宋" w:eastAsia="仿宋" w:cs="仿宋"/>
          <w:spacing w:val="-12"/>
          <w:sz w:val="24"/>
          <w:szCs w:val="24"/>
          <w:highlight w:val="none"/>
        </w:rPr>
        <w:t>协调法院退还甲方的诉讼费用事宜。</w:t>
      </w:r>
    </w:p>
    <w:p w14:paraId="2BFEF4FE">
      <w:pPr>
        <w:widowControl/>
        <w:numPr>
          <w:ilvl w:val="0"/>
          <w:numId w:val="0"/>
        </w:numPr>
        <w:shd w:val="clear" w:color="auto" w:fill="auto"/>
        <w:snapToGrid w:val="0"/>
        <w:spacing w:line="400" w:lineRule="exact"/>
        <w:ind w:firstLine="600" w:firstLineChars="0"/>
        <w:contextualSpacing/>
        <w:jc w:val="left"/>
        <w:rPr>
          <w:rFonts w:hint="default" w:ascii="仿宋" w:hAnsi="仿宋" w:eastAsia="仿宋" w:cs="仿宋"/>
          <w:spacing w:val="-12"/>
          <w:sz w:val="24"/>
          <w:szCs w:val="24"/>
          <w:highlight w:val="none"/>
        </w:rPr>
      </w:pPr>
      <w:r>
        <w:rPr>
          <w:rFonts w:ascii="仿宋" w:hAnsi="仿宋" w:eastAsia="仿宋" w:cs="仿宋"/>
          <w:spacing w:val="-12"/>
          <w:sz w:val="24"/>
          <w:szCs w:val="24"/>
          <w:highlight w:val="none"/>
        </w:rPr>
        <w:t xml:space="preserve">乙方应确保所委托/协助处理案件的法律文书及客户申请表原件资料的完整性和安全性，如法律文书或客户申请表原件资料遗失的需协助补回，对于无法补回的，甲方将依照遗失材料对应案件总标的 </w:t>
      </w:r>
      <w:r>
        <w:rPr>
          <w:rFonts w:hint="eastAsia" w:ascii="仿宋" w:hAnsi="仿宋" w:eastAsia="仿宋" w:cs="仿宋"/>
          <w:spacing w:val="-12"/>
          <w:sz w:val="24"/>
          <w:szCs w:val="24"/>
          <w:highlight w:val="none"/>
          <w:lang w:val="en-US" w:eastAsia="zh-CN"/>
        </w:rPr>
        <w:t>3</w:t>
      </w:r>
      <w:r>
        <w:rPr>
          <w:rFonts w:ascii="仿宋" w:hAnsi="仿宋" w:eastAsia="仿宋" w:cs="仿宋"/>
          <w:spacing w:val="-12"/>
          <w:sz w:val="24"/>
          <w:szCs w:val="24"/>
          <w:highlight w:val="none"/>
        </w:rPr>
        <w:t>0 %的违约金对乙方进行佣金扣罚；</w:t>
      </w:r>
      <w:r>
        <w:rPr>
          <w:rFonts w:hint="eastAsia" w:ascii="仿宋" w:hAnsi="仿宋" w:eastAsia="仿宋" w:cs="仿宋"/>
          <w:spacing w:val="-12"/>
          <w:sz w:val="24"/>
          <w:szCs w:val="24"/>
          <w:highlight w:val="none"/>
          <w:lang w:eastAsia="zh-CN"/>
        </w:rPr>
        <w:t>若</w:t>
      </w:r>
      <w:r>
        <w:rPr>
          <w:rFonts w:hint="eastAsia" w:ascii="仿宋" w:hAnsi="仿宋" w:eastAsia="仿宋" w:cs="仿宋"/>
          <w:kern w:val="0"/>
          <w:sz w:val="24"/>
          <w:szCs w:val="24"/>
          <w:highlight w:val="none"/>
        </w:rPr>
        <w:t>因</w:t>
      </w:r>
      <w:r>
        <w:rPr>
          <w:rFonts w:hint="eastAsia" w:ascii="仿宋" w:hAnsi="仿宋" w:eastAsia="仿宋" w:cs="仿宋"/>
          <w:kern w:val="0"/>
          <w:sz w:val="24"/>
          <w:szCs w:val="24"/>
          <w:highlight w:val="none"/>
          <w:lang w:eastAsia="zh-CN"/>
        </w:rPr>
        <w:t>此导致该案件欠款无法回收的，</w:t>
      </w:r>
      <w:r>
        <w:rPr>
          <w:rFonts w:hint="eastAsia" w:ascii="仿宋" w:hAnsi="仿宋" w:eastAsia="仿宋" w:cs="仿宋"/>
          <w:sz w:val="24"/>
          <w:szCs w:val="24"/>
          <w:highlight w:val="none"/>
        </w:rPr>
        <w:t>还应向</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承担损害赔偿责任</w:t>
      </w:r>
      <w:r>
        <w:rPr>
          <w:rFonts w:ascii="仿宋" w:hAnsi="仿宋" w:eastAsia="仿宋" w:cs="仿宋"/>
          <w:spacing w:val="-12"/>
          <w:sz w:val="24"/>
          <w:szCs w:val="24"/>
          <w:highlight w:val="none"/>
        </w:rPr>
        <w:t>（法律文书包括但不限于：民事判决书、执行裁定书、民事调解书等）。</w:t>
      </w:r>
    </w:p>
    <w:p w14:paraId="45597479">
      <w:pPr>
        <w:numPr>
          <w:ilvl w:val="0"/>
          <w:numId w:val="3"/>
        </w:numPr>
        <w:shd w:val="clear" w:color="auto" w:fill="auto"/>
        <w:snapToGrid w:val="0"/>
        <w:spacing w:line="400" w:lineRule="exact"/>
        <w:ind w:firstLine="600"/>
        <w:contextualSpacing/>
        <w:rPr>
          <w:rFonts w:hint="default" w:ascii="仿宋" w:hAnsi="仿宋" w:eastAsia="仿宋" w:cs="仿宋"/>
          <w:spacing w:val="-12"/>
          <w:sz w:val="24"/>
          <w:szCs w:val="24"/>
          <w:highlight w:val="none"/>
        </w:rPr>
      </w:pPr>
      <w:r>
        <w:rPr>
          <w:rFonts w:ascii="仿宋" w:hAnsi="仿宋" w:eastAsia="仿宋" w:cs="仿宋"/>
          <w:spacing w:val="-12"/>
          <w:sz w:val="24"/>
          <w:szCs w:val="24"/>
          <w:highlight w:val="none"/>
        </w:rPr>
        <w:t>对于已申请纳入限高的诉讼客户，在客户未结清欠款之前，乙方不得擅自解除法律强制措施（如有特殊情况，需向甲方申请），否则甲方不予结算任何费用，已结算的将从后续费用中扣除。</w:t>
      </w:r>
      <w:r>
        <w:rPr>
          <w:rFonts w:hint="eastAsia" w:ascii="仿宋" w:hAnsi="仿宋" w:eastAsia="仿宋" w:cs="仿宋"/>
          <w:color w:val="000000"/>
          <w:sz w:val="24"/>
          <w:szCs w:val="24"/>
          <w:highlight w:val="none"/>
          <w:u w:val="single"/>
          <w:lang w:val="en-US" w:eastAsia="zh-CN"/>
        </w:rPr>
        <w:t xml:space="preserve">                  </w:t>
      </w:r>
    </w:p>
    <w:p w14:paraId="4E907755">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rPr>
      </w:pPr>
      <w:r>
        <w:rPr>
          <w:rFonts w:hint="eastAsia" w:ascii="仿宋" w:hAnsi="仿宋" w:eastAsia="仿宋" w:cs="仿宋"/>
          <w:spacing w:val="-12"/>
          <w:sz w:val="24"/>
          <w:szCs w:val="24"/>
          <w:highlight w:val="none"/>
        </w:rPr>
        <w:t>2、诉讼代理中的义务：</w:t>
      </w:r>
    </w:p>
    <w:p w14:paraId="6C2F8E63">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lang w:val="zh-CN"/>
        </w:rPr>
      </w:pPr>
      <w:r>
        <w:rPr>
          <w:rFonts w:hint="eastAsia" w:ascii="仿宋" w:hAnsi="仿宋" w:eastAsia="仿宋" w:cs="仿宋"/>
          <w:spacing w:val="-12"/>
          <w:sz w:val="24"/>
          <w:szCs w:val="24"/>
          <w:highlight w:val="none"/>
        </w:rPr>
        <w:t>（1）</w:t>
      </w:r>
      <w:r>
        <w:rPr>
          <w:rFonts w:hint="eastAsia" w:ascii="仿宋" w:hAnsi="仿宋" w:eastAsia="仿宋" w:cs="仿宋"/>
          <w:spacing w:val="-12"/>
          <w:sz w:val="24"/>
          <w:szCs w:val="24"/>
          <w:highlight w:val="none"/>
          <w:lang w:val="zh-CN"/>
        </w:rPr>
        <w:t>乙方应在接受甲方委托之日起 3 日内开展工作；</w:t>
      </w:r>
    </w:p>
    <w:p w14:paraId="36EB0AAE">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lang w:val="zh-CN"/>
        </w:rPr>
      </w:pPr>
      <w:r>
        <w:rPr>
          <w:rFonts w:hint="eastAsia" w:ascii="仿宋" w:hAnsi="仿宋" w:eastAsia="仿宋" w:cs="仿宋"/>
          <w:spacing w:val="-12"/>
          <w:sz w:val="24"/>
          <w:szCs w:val="24"/>
          <w:highlight w:val="none"/>
          <w:lang w:val="zh-CN"/>
        </w:rPr>
        <w:t>（</w:t>
      </w:r>
      <w:r>
        <w:rPr>
          <w:rFonts w:hint="eastAsia" w:ascii="仿宋" w:hAnsi="仿宋" w:eastAsia="仿宋" w:cs="仿宋"/>
          <w:spacing w:val="-12"/>
          <w:sz w:val="24"/>
          <w:szCs w:val="24"/>
          <w:highlight w:val="none"/>
        </w:rPr>
        <w:t>2</w:t>
      </w:r>
      <w:r>
        <w:rPr>
          <w:rFonts w:hint="eastAsia" w:ascii="仿宋" w:hAnsi="仿宋" w:eastAsia="仿宋" w:cs="仿宋"/>
          <w:spacing w:val="-12"/>
          <w:sz w:val="24"/>
          <w:szCs w:val="24"/>
          <w:highlight w:val="none"/>
          <w:lang w:val="zh-CN"/>
        </w:rPr>
        <w:t>）在甲方主动提起诉讼的情况下，乙方应在接受甲方委托之日起 按甲方要求时限对委托事项的法律事实、法律关系、法律适用、案件执行进行分析、预测，选择最为合适的法律手段，制定诉讼等催收方案；并自接受委托后，立即展开调查、收集证据，了解债务人可供执行财产情况，及时选择适当的法律手段，以确保甲方债权的实现。</w:t>
      </w:r>
      <w:r>
        <w:rPr>
          <w:rFonts w:hint="eastAsia" w:ascii="仿宋" w:hAnsi="仿宋" w:eastAsia="仿宋" w:cs="仿宋"/>
          <w:sz w:val="24"/>
          <w:szCs w:val="24"/>
          <w:highlight w:val="none"/>
          <w:lang w:eastAsia="zh-CN"/>
        </w:rPr>
        <w:t>如甲方要求出具书面《法律意见书》的，乙方应按甲方要求向甲方出具书面《法律意见书》</w:t>
      </w:r>
      <w:r>
        <w:rPr>
          <w:rFonts w:hint="eastAsia" w:ascii="仿宋" w:hAnsi="仿宋" w:eastAsia="仿宋" w:cs="仿宋"/>
          <w:spacing w:val="-12"/>
          <w:sz w:val="24"/>
          <w:szCs w:val="24"/>
          <w:highlight w:val="none"/>
          <w:lang w:val="zh-CN"/>
        </w:rPr>
        <w:t>；</w:t>
      </w:r>
    </w:p>
    <w:p w14:paraId="45DC7F08">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lang w:val="zh-CN"/>
        </w:rPr>
      </w:pPr>
      <w:r>
        <w:rPr>
          <w:rFonts w:hint="eastAsia" w:ascii="仿宋" w:hAnsi="仿宋" w:eastAsia="仿宋" w:cs="仿宋"/>
          <w:spacing w:val="-12"/>
          <w:sz w:val="24"/>
          <w:szCs w:val="24"/>
          <w:highlight w:val="none"/>
          <w:lang w:val="zh-CN"/>
        </w:rPr>
        <w:t>（</w:t>
      </w:r>
      <w:r>
        <w:rPr>
          <w:rFonts w:hint="eastAsia" w:ascii="仿宋" w:hAnsi="仿宋" w:eastAsia="仿宋" w:cs="仿宋"/>
          <w:spacing w:val="-12"/>
          <w:sz w:val="24"/>
          <w:szCs w:val="24"/>
          <w:highlight w:val="none"/>
        </w:rPr>
        <w:t>3</w:t>
      </w:r>
      <w:r>
        <w:rPr>
          <w:rFonts w:hint="eastAsia" w:ascii="仿宋" w:hAnsi="仿宋" w:eastAsia="仿宋" w:cs="仿宋"/>
          <w:spacing w:val="-12"/>
          <w:sz w:val="24"/>
          <w:szCs w:val="24"/>
          <w:highlight w:val="none"/>
          <w:lang w:val="zh-CN"/>
        </w:rPr>
        <w:t>）在甲方被动参与诉讼或仲裁的情况下，自委托代理合同生效之日起 5 日内，乙方应对委托事项事实、法律关系、法律适用、委托事项执行进行分析、预测，选择最为合适的法律手段，制定诉讼方案。</w:t>
      </w:r>
      <w:r>
        <w:rPr>
          <w:rFonts w:hint="eastAsia" w:ascii="仿宋" w:hAnsi="仿宋" w:eastAsia="仿宋" w:cs="仿宋"/>
          <w:sz w:val="24"/>
          <w:szCs w:val="24"/>
          <w:highlight w:val="none"/>
          <w:lang w:eastAsia="zh-CN"/>
        </w:rPr>
        <w:t>如甲方要求出具书面《法律意见书》的，乙方应按甲方要求向甲方出具书面《法律意见书》</w:t>
      </w:r>
      <w:r>
        <w:rPr>
          <w:rFonts w:hint="eastAsia" w:ascii="仿宋" w:hAnsi="仿宋" w:eastAsia="仿宋" w:cs="仿宋"/>
          <w:spacing w:val="-12"/>
          <w:sz w:val="24"/>
          <w:szCs w:val="24"/>
          <w:highlight w:val="none"/>
          <w:lang w:val="zh-CN"/>
        </w:rPr>
        <w:t>；</w:t>
      </w:r>
    </w:p>
    <w:p w14:paraId="57156AE6">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lang w:val="zh-CN"/>
        </w:rPr>
      </w:pPr>
      <w:r>
        <w:rPr>
          <w:rFonts w:hint="eastAsia" w:ascii="仿宋" w:hAnsi="仿宋" w:eastAsia="仿宋" w:cs="仿宋"/>
          <w:spacing w:val="-12"/>
          <w:sz w:val="24"/>
          <w:szCs w:val="24"/>
          <w:highlight w:val="none"/>
          <w:lang w:val="zh-CN"/>
        </w:rPr>
        <w:t>（</w:t>
      </w:r>
      <w:r>
        <w:rPr>
          <w:rFonts w:hint="eastAsia" w:ascii="仿宋" w:hAnsi="仿宋" w:eastAsia="仿宋" w:cs="仿宋"/>
          <w:spacing w:val="-12"/>
          <w:sz w:val="24"/>
          <w:szCs w:val="24"/>
          <w:highlight w:val="none"/>
        </w:rPr>
        <w:t>4</w:t>
      </w:r>
      <w:r>
        <w:rPr>
          <w:rFonts w:hint="eastAsia" w:ascii="仿宋" w:hAnsi="仿宋" w:eastAsia="仿宋" w:cs="仿宋"/>
          <w:spacing w:val="-12"/>
          <w:sz w:val="24"/>
          <w:szCs w:val="24"/>
          <w:highlight w:val="none"/>
          <w:lang w:val="zh-CN"/>
        </w:rPr>
        <w:t xml:space="preserve">）乙方应根据委托事项需要，向甲方建议、并在征得甲方同意后，代理财产的诉前、诉讼保全申请、证据保全申请； </w:t>
      </w:r>
    </w:p>
    <w:p w14:paraId="72CE8075">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lang w:val="zh-CN"/>
        </w:rPr>
      </w:pPr>
      <w:r>
        <w:rPr>
          <w:rFonts w:hint="eastAsia" w:ascii="仿宋" w:hAnsi="仿宋" w:eastAsia="仿宋" w:cs="仿宋"/>
          <w:spacing w:val="-12"/>
          <w:sz w:val="24"/>
          <w:szCs w:val="24"/>
          <w:highlight w:val="none"/>
          <w:lang w:val="zh-CN"/>
        </w:rPr>
        <w:t>（</w:t>
      </w:r>
      <w:r>
        <w:rPr>
          <w:rFonts w:hint="eastAsia" w:ascii="仿宋" w:hAnsi="仿宋" w:eastAsia="仿宋" w:cs="仿宋"/>
          <w:spacing w:val="-12"/>
          <w:sz w:val="24"/>
          <w:szCs w:val="24"/>
          <w:highlight w:val="none"/>
        </w:rPr>
        <w:t>5</w:t>
      </w:r>
      <w:r>
        <w:rPr>
          <w:rFonts w:hint="eastAsia" w:ascii="仿宋" w:hAnsi="仿宋" w:eastAsia="仿宋" w:cs="仿宋"/>
          <w:spacing w:val="-12"/>
          <w:sz w:val="24"/>
          <w:szCs w:val="24"/>
          <w:highlight w:val="none"/>
          <w:lang w:val="zh-CN"/>
        </w:rPr>
        <w:t>）甲方提起诉讼或仲裁后，乙方应及时查阅案卷，准备代理意见参加庭审，并就诉讼过程中需要补充的证据材料进行调查，切实做好诉讼代理工作；</w:t>
      </w:r>
    </w:p>
    <w:p w14:paraId="31AEFDD8">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lang w:val="zh-CN"/>
        </w:rPr>
      </w:pPr>
      <w:r>
        <w:rPr>
          <w:rFonts w:hint="eastAsia" w:ascii="仿宋" w:hAnsi="仿宋" w:eastAsia="仿宋" w:cs="仿宋"/>
          <w:spacing w:val="-12"/>
          <w:sz w:val="24"/>
          <w:szCs w:val="24"/>
          <w:highlight w:val="none"/>
          <w:lang w:val="zh-CN"/>
        </w:rPr>
        <w:t>（</w:t>
      </w:r>
      <w:r>
        <w:rPr>
          <w:rFonts w:hint="eastAsia" w:ascii="仿宋" w:hAnsi="仿宋" w:eastAsia="仿宋" w:cs="仿宋"/>
          <w:spacing w:val="-12"/>
          <w:sz w:val="24"/>
          <w:szCs w:val="24"/>
          <w:highlight w:val="none"/>
        </w:rPr>
        <w:t>6</w:t>
      </w:r>
      <w:r>
        <w:rPr>
          <w:rFonts w:hint="eastAsia" w:ascii="仿宋" w:hAnsi="仿宋" w:eastAsia="仿宋" w:cs="仿宋"/>
          <w:spacing w:val="-12"/>
          <w:sz w:val="24"/>
          <w:szCs w:val="24"/>
          <w:highlight w:val="none"/>
          <w:lang w:val="zh-CN"/>
        </w:rPr>
        <w:t>）乙方应及时向甲方书面汇报庭审情况，在代理诉讼的情况下，就委托事项一审处理结果于一审结束后 3 日内向甲方提出是否上诉的建议；</w:t>
      </w:r>
    </w:p>
    <w:p w14:paraId="6FD35478">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lang w:val="zh-CN"/>
        </w:rPr>
      </w:pPr>
      <w:r>
        <w:rPr>
          <w:rFonts w:hint="eastAsia" w:ascii="仿宋" w:hAnsi="仿宋" w:eastAsia="仿宋" w:cs="仿宋"/>
          <w:spacing w:val="-12"/>
          <w:sz w:val="24"/>
          <w:szCs w:val="24"/>
          <w:highlight w:val="none"/>
          <w:lang w:val="zh-CN"/>
        </w:rPr>
        <w:t>（</w:t>
      </w:r>
      <w:r>
        <w:rPr>
          <w:rFonts w:hint="eastAsia" w:ascii="仿宋" w:hAnsi="仿宋" w:eastAsia="仿宋" w:cs="仿宋"/>
          <w:spacing w:val="-12"/>
          <w:sz w:val="24"/>
          <w:szCs w:val="24"/>
          <w:highlight w:val="none"/>
        </w:rPr>
        <w:t>7</w:t>
      </w:r>
      <w:r>
        <w:rPr>
          <w:rFonts w:hint="eastAsia" w:ascii="仿宋" w:hAnsi="仿宋" w:eastAsia="仿宋" w:cs="仿宋"/>
          <w:spacing w:val="-12"/>
          <w:sz w:val="24"/>
          <w:szCs w:val="24"/>
          <w:highlight w:val="none"/>
          <w:lang w:val="zh-CN"/>
        </w:rPr>
        <w:t>）除甲方有一定明确方向的建议需求外，乙方应就受托事务有关的所有法律问题及与受托事务执行相关的业务问题向甲方进行全面、详尽的告知。乙方应就达成诉讼目标的各个适当步骤及时予以建议，就可预见及可避免的不利情况予以防止。</w:t>
      </w:r>
    </w:p>
    <w:p w14:paraId="3CE8F038">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rPr>
      </w:pPr>
      <w:r>
        <w:rPr>
          <w:rFonts w:hint="eastAsia" w:ascii="仿宋" w:hAnsi="仿宋" w:eastAsia="仿宋" w:cs="仿宋"/>
          <w:spacing w:val="-12"/>
          <w:sz w:val="24"/>
          <w:szCs w:val="24"/>
          <w:highlight w:val="none"/>
        </w:rPr>
        <w:t>3、执行代理中的义务：</w:t>
      </w:r>
    </w:p>
    <w:p w14:paraId="050DAAC2">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rPr>
      </w:pPr>
      <w:r>
        <w:rPr>
          <w:rFonts w:hint="eastAsia" w:ascii="仿宋" w:hAnsi="仿宋" w:eastAsia="仿宋" w:cs="仿宋"/>
          <w:spacing w:val="-12"/>
          <w:sz w:val="24"/>
          <w:szCs w:val="24"/>
          <w:highlight w:val="none"/>
        </w:rPr>
        <w:t>（1）</w:t>
      </w:r>
      <w:r>
        <w:rPr>
          <w:rFonts w:hint="eastAsia" w:ascii="仿宋" w:hAnsi="仿宋" w:eastAsia="仿宋" w:cs="仿宋"/>
          <w:spacing w:val="-12"/>
          <w:sz w:val="24"/>
          <w:szCs w:val="24"/>
          <w:highlight w:val="none"/>
          <w:lang w:val="zh-CN"/>
        </w:rPr>
        <w:t>乙方应在法院判决书/仲裁委裁定书生效之日起 30 日内向甲方提出是否申请强制执行的建议；</w:t>
      </w:r>
    </w:p>
    <w:p w14:paraId="387B215F">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rPr>
      </w:pPr>
      <w:r>
        <w:rPr>
          <w:rFonts w:hint="eastAsia" w:ascii="仿宋" w:hAnsi="仿宋" w:eastAsia="仿宋" w:cs="仿宋"/>
          <w:spacing w:val="-12"/>
          <w:sz w:val="24"/>
          <w:szCs w:val="24"/>
          <w:highlight w:val="none"/>
        </w:rPr>
        <w:t>（2）乙方应跟踪、及时掌握被执行人的资产、到期债权、知识产权、投资收益等各项可供执行的财产状况，积极向法院提供执行线索。</w:t>
      </w:r>
    </w:p>
    <w:p w14:paraId="32419E44">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rPr>
      </w:pPr>
      <w:r>
        <w:rPr>
          <w:rFonts w:hint="eastAsia" w:ascii="仿宋" w:hAnsi="仿宋" w:eastAsia="仿宋" w:cs="仿宋"/>
          <w:spacing w:val="-12"/>
          <w:sz w:val="24"/>
          <w:szCs w:val="24"/>
          <w:highlight w:val="none"/>
        </w:rPr>
        <w:t>（3）乙方应积极配合法院执行工作，尽快使债务人财产变现，实现甲方债权；</w:t>
      </w:r>
    </w:p>
    <w:p w14:paraId="1BC9F700">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rPr>
      </w:pPr>
      <w:r>
        <w:rPr>
          <w:rFonts w:hint="eastAsia" w:ascii="仿宋" w:hAnsi="仿宋" w:eastAsia="仿宋" w:cs="仿宋"/>
          <w:spacing w:val="-12"/>
          <w:sz w:val="24"/>
          <w:szCs w:val="24"/>
          <w:highlight w:val="none"/>
          <w:lang w:val="zh-CN"/>
        </w:rPr>
        <w:t>（</w:t>
      </w:r>
      <w:r>
        <w:rPr>
          <w:rFonts w:hint="eastAsia" w:ascii="仿宋" w:hAnsi="仿宋" w:eastAsia="仿宋" w:cs="仿宋"/>
          <w:spacing w:val="-12"/>
          <w:sz w:val="24"/>
          <w:szCs w:val="24"/>
          <w:highlight w:val="none"/>
        </w:rPr>
        <w:t>4</w:t>
      </w:r>
      <w:r>
        <w:rPr>
          <w:rFonts w:hint="eastAsia" w:ascii="仿宋" w:hAnsi="仿宋" w:eastAsia="仿宋" w:cs="仿宋"/>
          <w:spacing w:val="-12"/>
          <w:sz w:val="24"/>
          <w:szCs w:val="24"/>
          <w:highlight w:val="none"/>
          <w:lang w:val="zh-CN"/>
        </w:rPr>
        <w:t>）除甲方有一定明确方向的建议需求外，乙方应就受托事务有关的所有法律问题及与受托事务执行相关的业务问题向甲方进行全面、详尽的告知；乙方应就达成执行目标的各个适当步骤及时予以建议，就可预见及可避免的不利情况予以防止。</w:t>
      </w:r>
    </w:p>
    <w:p w14:paraId="1BF570CB">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rPr>
      </w:pPr>
      <w:r>
        <w:rPr>
          <w:rFonts w:hint="eastAsia" w:ascii="仿宋" w:hAnsi="仿宋" w:eastAsia="仿宋" w:cs="仿宋"/>
          <w:spacing w:val="-12"/>
          <w:sz w:val="24"/>
          <w:szCs w:val="24"/>
          <w:highlight w:val="none"/>
        </w:rPr>
        <w:t>4、报告义务：</w:t>
      </w:r>
    </w:p>
    <w:p w14:paraId="59EA6719">
      <w:pPr>
        <w:pStyle w:val="11"/>
        <w:shd w:val="clear" w:color="auto" w:fill="auto"/>
        <w:snapToGrid w:val="0"/>
        <w:spacing w:line="400" w:lineRule="exact"/>
        <w:ind w:firstLine="432" w:firstLineChars="200"/>
        <w:contextualSpacing/>
        <w:rPr>
          <w:rFonts w:ascii="仿宋" w:hAnsi="仿宋" w:eastAsia="仿宋" w:cs="仿宋"/>
          <w:spacing w:val="-12"/>
          <w:sz w:val="24"/>
          <w:szCs w:val="24"/>
          <w:highlight w:val="none"/>
        </w:rPr>
      </w:pPr>
      <w:r>
        <w:rPr>
          <w:rFonts w:hint="eastAsia" w:ascii="仿宋" w:hAnsi="仿宋" w:eastAsia="仿宋" w:cs="仿宋"/>
          <w:spacing w:val="-12"/>
          <w:sz w:val="24"/>
          <w:szCs w:val="24"/>
          <w:highlight w:val="none"/>
        </w:rPr>
        <w:t>（1）乙方应建立工作计划制度、工作档案制度、业务联系制度、结案报告制度，及时向甲方报告办案进度、办案总结；</w:t>
      </w:r>
    </w:p>
    <w:p w14:paraId="235A80FA">
      <w:pPr>
        <w:pStyle w:val="11"/>
        <w:shd w:val="clear" w:color="auto" w:fill="auto"/>
        <w:snapToGrid w:val="0"/>
        <w:spacing w:line="400" w:lineRule="exact"/>
        <w:ind w:firstLine="432" w:firstLineChars="200"/>
        <w:contextualSpacing/>
        <w:rPr>
          <w:rFonts w:hint="eastAsia" w:ascii="仿宋" w:hAnsi="仿宋" w:eastAsia="仿宋" w:cs="仿宋"/>
          <w:spacing w:val="-12"/>
          <w:sz w:val="24"/>
          <w:szCs w:val="24"/>
          <w:highlight w:val="none"/>
        </w:rPr>
      </w:pPr>
      <w:r>
        <w:rPr>
          <w:rFonts w:hint="eastAsia" w:ascii="仿宋" w:hAnsi="仿宋" w:eastAsia="仿宋" w:cs="仿宋"/>
          <w:spacing w:val="-12"/>
          <w:sz w:val="24"/>
          <w:szCs w:val="24"/>
          <w:highlight w:val="none"/>
        </w:rPr>
        <w:t>（2）对典型案件、重大疑难案件特别是败诉案件，乙方应向甲方提交案件总结报告，报告应包括案件事实、法律分析、甲方经营管理中存在的问题及经验教训与改进建议。</w:t>
      </w:r>
    </w:p>
    <w:p w14:paraId="0D94A992">
      <w:pPr>
        <w:pStyle w:val="11"/>
        <w:shd w:val="clear" w:color="auto" w:fill="auto"/>
        <w:snapToGrid w:val="0"/>
        <w:spacing w:line="400" w:lineRule="exact"/>
        <w:ind w:firstLine="432" w:firstLineChars="200"/>
        <w:contextualSpacing/>
        <w:rPr>
          <w:rFonts w:hint="eastAsia" w:ascii="仿宋" w:hAnsi="仿宋" w:eastAsia="仿宋" w:cs="仿宋"/>
          <w:spacing w:val="-12"/>
          <w:sz w:val="24"/>
          <w:szCs w:val="24"/>
          <w:highlight w:val="none"/>
          <w:lang w:val="en-US" w:eastAsia="zh-CN"/>
        </w:rPr>
      </w:pPr>
      <w:r>
        <w:rPr>
          <w:rFonts w:hint="eastAsia" w:ascii="仿宋" w:hAnsi="仿宋" w:eastAsia="仿宋" w:cs="仿宋"/>
          <w:spacing w:val="-12"/>
          <w:sz w:val="24"/>
          <w:szCs w:val="24"/>
          <w:highlight w:val="none"/>
          <w:lang w:val="en-US" w:eastAsia="zh-CN"/>
        </w:rPr>
        <w:t>5、其他义务</w:t>
      </w:r>
    </w:p>
    <w:p w14:paraId="65C56687">
      <w:pPr>
        <w:keepNext w:val="0"/>
        <w:keepLines w:val="0"/>
        <w:pageBreakBefore w:val="0"/>
        <w:widowControl w:val="0"/>
        <w:numPr>
          <w:ilvl w:val="0"/>
          <w:numId w:val="0"/>
        </w:numPr>
        <w:shd w:val="solid" w:color="FFFFFF" w:fill="auto"/>
        <w:kinsoku/>
        <w:wordWrap/>
        <w:overflowPunct/>
        <w:topLinePunct w:val="0"/>
        <w:autoSpaceDE/>
        <w:autoSpaceDN w:val="0"/>
        <w:bidi w:val="0"/>
        <w:adjustRightInd w:val="0"/>
        <w:snapToGrid/>
        <w:spacing w:before="0" w:beforeLines="0" w:afterLines="0" w:line="400" w:lineRule="exact"/>
        <w:ind w:left="0" w:leftChars="0" w:firstLine="432" w:firstLineChars="200"/>
        <w:jc w:val="both"/>
        <w:textAlignment w:val="auto"/>
        <w:outlineLvl w:val="9"/>
        <w:rPr>
          <w:rFonts w:hint="eastAsia" w:ascii="仿宋" w:hAnsi="仿宋" w:eastAsia="仿宋" w:cs="仿宋"/>
          <w:b w:val="0"/>
          <w:bCs w:val="0"/>
          <w:i w:val="0"/>
          <w:snapToGrid/>
          <w:color w:val="auto"/>
          <w:spacing w:val="-11"/>
          <w:sz w:val="24"/>
          <w:szCs w:val="24"/>
          <w:highlight w:val="none"/>
          <w:u w:val="none"/>
          <w:shd w:val="clear" w:color="auto" w:fill="FFFFFF"/>
          <w:lang w:val="en-US" w:eastAsia="zh-CN"/>
        </w:rPr>
      </w:pPr>
      <w:r>
        <w:rPr>
          <w:rFonts w:hint="eastAsia" w:ascii="仿宋" w:hAnsi="仿宋" w:eastAsia="仿宋" w:cs="仿宋"/>
          <w:color w:val="auto"/>
          <w:spacing w:val="-12"/>
          <w:kern w:val="2"/>
          <w:sz w:val="24"/>
          <w:szCs w:val="24"/>
          <w:highlight w:val="none"/>
          <w:shd w:val="clear" w:color="auto" w:fill="auto"/>
          <w:lang w:val="en-US" w:eastAsia="zh-CN" w:bidi="ar"/>
        </w:rPr>
        <w:t>乙方承诺满足以下基本要求：</w:t>
      </w:r>
    </w:p>
    <w:p w14:paraId="427ADA3C">
      <w:pPr>
        <w:pStyle w:val="6"/>
        <w:numPr>
          <w:ilvl w:val="0"/>
          <w:numId w:val="0"/>
        </w:numPr>
        <w:shd w:val="clear" w:color="auto" w:fill="auto"/>
        <w:spacing w:beforeLines="0" w:afterLines="0" w:line="400" w:lineRule="exact"/>
        <w:ind w:firstLine="432" w:firstLineChars="200"/>
        <w:rPr>
          <w:rFonts w:hint="eastAsia" w:ascii="仿宋" w:hAnsi="仿宋" w:eastAsia="仿宋" w:cs="仿宋"/>
          <w:color w:val="auto"/>
          <w:spacing w:val="-12"/>
          <w:sz w:val="24"/>
          <w:szCs w:val="24"/>
          <w:highlight w:val="none"/>
          <w:shd w:val="clear" w:color="auto" w:fill="auto"/>
          <w:lang w:val="en-US" w:eastAsia="zh-CN" w:bidi="ar"/>
        </w:rPr>
      </w:pPr>
      <w:r>
        <w:rPr>
          <w:rFonts w:hint="eastAsia" w:ascii="仿宋" w:hAnsi="仿宋" w:eastAsia="仿宋" w:cs="仿宋"/>
          <w:color w:val="auto"/>
          <w:spacing w:val="-12"/>
          <w:sz w:val="24"/>
          <w:szCs w:val="24"/>
          <w:highlight w:val="none"/>
          <w:shd w:val="clear" w:color="auto" w:fill="auto"/>
          <w:lang w:eastAsia="zh-CN" w:bidi="ar"/>
        </w:rPr>
        <w:t>（</w:t>
      </w:r>
      <w:r>
        <w:rPr>
          <w:rFonts w:hint="eastAsia" w:ascii="仿宋" w:hAnsi="仿宋" w:eastAsia="仿宋" w:cs="仿宋"/>
          <w:color w:val="auto"/>
          <w:spacing w:val="-12"/>
          <w:sz w:val="24"/>
          <w:szCs w:val="24"/>
          <w:highlight w:val="none"/>
          <w:shd w:val="clear" w:color="auto" w:fill="auto"/>
          <w:lang w:val="en-US" w:eastAsia="zh-CN" w:bidi="ar"/>
        </w:rPr>
        <w:t>1</w:t>
      </w:r>
      <w:r>
        <w:rPr>
          <w:rFonts w:hint="eastAsia" w:ascii="仿宋" w:hAnsi="仿宋" w:eastAsia="仿宋" w:cs="仿宋"/>
          <w:color w:val="auto"/>
          <w:spacing w:val="-12"/>
          <w:sz w:val="24"/>
          <w:szCs w:val="24"/>
          <w:highlight w:val="none"/>
          <w:shd w:val="clear" w:color="auto" w:fill="auto"/>
          <w:lang w:eastAsia="zh-CN" w:bidi="ar"/>
        </w:rPr>
        <w:t>）基本</w:t>
      </w:r>
      <w:r>
        <w:rPr>
          <w:rFonts w:hint="eastAsia" w:ascii="仿宋" w:hAnsi="仿宋" w:eastAsia="仿宋" w:cs="仿宋"/>
          <w:color w:val="auto"/>
          <w:spacing w:val="-12"/>
          <w:sz w:val="24"/>
          <w:szCs w:val="24"/>
          <w:highlight w:val="none"/>
          <w:shd w:val="clear" w:color="auto" w:fill="auto"/>
          <w:lang w:val="en-US" w:eastAsia="zh-CN" w:bidi="ar"/>
        </w:rPr>
        <w:t>资质</w:t>
      </w:r>
    </w:p>
    <w:p w14:paraId="5C6F7F03">
      <w:pPr>
        <w:pStyle w:val="6"/>
        <w:numPr>
          <w:ilvl w:val="0"/>
          <w:numId w:val="0"/>
        </w:numPr>
        <w:shd w:val="clear" w:color="auto" w:fill="auto"/>
        <w:spacing w:beforeLines="0" w:afterLines="0" w:line="400" w:lineRule="exact"/>
        <w:ind w:firstLine="352" w:firstLineChars="200"/>
        <w:rPr>
          <w:rFonts w:hint="eastAsia" w:ascii="仿宋" w:hAnsi="仿宋" w:eastAsia="仿宋" w:cs="仿宋"/>
          <w:color w:val="auto"/>
          <w:spacing w:val="-12"/>
          <w:sz w:val="24"/>
          <w:szCs w:val="24"/>
          <w:highlight w:val="none"/>
          <w:shd w:val="clear" w:color="auto" w:fill="auto"/>
          <w:lang w:bidi="ar"/>
        </w:rPr>
      </w:pPr>
      <w:r>
        <w:rPr>
          <w:rFonts w:hint="default" w:ascii="Calibri" w:hAnsi="Calibri" w:eastAsia="仿宋" w:cs="Calibri"/>
          <w:color w:val="auto"/>
          <w:spacing w:val="-12"/>
          <w:sz w:val="20"/>
          <w:szCs w:val="20"/>
          <w:highlight w:val="none"/>
          <w:shd w:val="clear" w:color="auto" w:fill="auto"/>
          <w:lang w:val="en-US" w:eastAsia="zh-CN" w:bidi="ar"/>
        </w:rPr>
        <w:t>①</w:t>
      </w:r>
      <w:r>
        <w:rPr>
          <w:rFonts w:hint="eastAsia" w:ascii="仿宋" w:hAnsi="仿宋" w:eastAsia="仿宋" w:cs="仿宋"/>
          <w:color w:val="auto"/>
          <w:spacing w:val="-12"/>
          <w:sz w:val="24"/>
          <w:szCs w:val="24"/>
          <w:highlight w:val="none"/>
          <w:shd w:val="clear" w:color="auto" w:fill="auto"/>
          <w:lang w:bidi="ar"/>
        </w:rPr>
        <w:t>必须是经司法行政部门批准的取得执业许可证的律师事务所，已通过司法行政机关最近一年考核，</w:t>
      </w:r>
      <w:r>
        <w:rPr>
          <w:rFonts w:hint="eastAsia" w:ascii="仿宋" w:hAnsi="仿宋" w:eastAsia="仿宋" w:cs="仿宋"/>
          <w:color w:val="auto"/>
          <w:spacing w:val="-12"/>
          <w:sz w:val="24"/>
          <w:szCs w:val="24"/>
          <w:highlight w:val="none"/>
          <w:shd w:val="clear" w:color="auto" w:fill="auto"/>
          <w:lang w:eastAsia="zh-CN" w:bidi="ar"/>
        </w:rPr>
        <w:t>考核结果为合格或合格以上；</w:t>
      </w:r>
    </w:p>
    <w:p w14:paraId="0FE9D41C">
      <w:pPr>
        <w:pStyle w:val="6"/>
        <w:numPr>
          <w:ilvl w:val="0"/>
          <w:numId w:val="0"/>
        </w:numPr>
        <w:shd w:val="clear" w:color="auto" w:fill="auto"/>
        <w:spacing w:beforeLines="0" w:afterLines="0" w:line="400" w:lineRule="exact"/>
        <w:ind w:firstLine="352" w:firstLineChars="200"/>
        <w:rPr>
          <w:rFonts w:hint="eastAsia" w:ascii="仿宋" w:hAnsi="仿宋" w:eastAsia="仿宋" w:cs="仿宋"/>
          <w:color w:val="auto"/>
          <w:spacing w:val="-12"/>
          <w:sz w:val="24"/>
          <w:szCs w:val="24"/>
          <w:highlight w:val="none"/>
          <w:shd w:val="clear" w:color="auto" w:fill="auto"/>
          <w:lang w:bidi="ar"/>
        </w:rPr>
      </w:pPr>
      <w:r>
        <w:rPr>
          <w:rFonts w:hint="default" w:ascii="Calibri" w:hAnsi="Calibri" w:eastAsia="仿宋" w:cs="Calibri"/>
          <w:color w:val="auto"/>
          <w:spacing w:val="-12"/>
          <w:sz w:val="20"/>
          <w:szCs w:val="20"/>
          <w:highlight w:val="none"/>
          <w:shd w:val="clear" w:color="auto" w:fill="auto"/>
          <w:lang w:val="en-US" w:eastAsia="zh-CN" w:bidi="ar"/>
        </w:rPr>
        <w:t>②</w:t>
      </w:r>
      <w:r>
        <w:rPr>
          <w:rFonts w:hint="eastAsia" w:ascii="仿宋" w:hAnsi="仿宋" w:eastAsia="仿宋" w:cs="仿宋"/>
          <w:color w:val="auto"/>
          <w:spacing w:val="-12"/>
          <w:sz w:val="24"/>
          <w:szCs w:val="24"/>
          <w:highlight w:val="none"/>
          <w:shd w:val="clear" w:color="auto" w:fill="auto"/>
          <w:lang w:bidi="ar"/>
        </w:rPr>
        <w:t>在经营活动中没有重大违法记录；</w:t>
      </w:r>
      <w:r>
        <w:rPr>
          <w:rFonts w:hint="eastAsia" w:ascii="仿宋" w:hAnsi="仿宋" w:eastAsia="仿宋" w:cs="仿宋"/>
          <w:color w:val="auto"/>
          <w:spacing w:val="-12"/>
          <w:sz w:val="24"/>
          <w:szCs w:val="24"/>
          <w:highlight w:val="none"/>
          <w:shd w:val="clear" w:color="auto" w:fill="auto"/>
          <w:lang w:val="en-US" w:eastAsia="zh-CN" w:bidi="ar"/>
        </w:rPr>
        <w:t>近三年来</w:t>
      </w:r>
      <w:r>
        <w:rPr>
          <w:rFonts w:hint="eastAsia" w:ascii="仿宋" w:hAnsi="仿宋" w:eastAsia="仿宋" w:cs="仿宋"/>
          <w:color w:val="auto"/>
          <w:spacing w:val="-12"/>
          <w:sz w:val="24"/>
          <w:szCs w:val="24"/>
          <w:highlight w:val="none"/>
          <w:shd w:val="clear" w:color="auto" w:fill="auto"/>
          <w:lang w:bidi="ar"/>
        </w:rPr>
        <w:t>没有受过司法行政部门、</w:t>
      </w:r>
      <w:r>
        <w:rPr>
          <w:rFonts w:hint="eastAsia" w:ascii="仿宋" w:hAnsi="仿宋" w:eastAsia="仿宋" w:cs="仿宋"/>
          <w:color w:val="auto"/>
          <w:spacing w:val="-12"/>
          <w:sz w:val="24"/>
          <w:szCs w:val="24"/>
          <w:highlight w:val="none"/>
          <w:shd w:val="clear" w:color="auto" w:fill="auto"/>
          <w:lang w:val="en-US" w:eastAsia="zh-CN" w:bidi="ar"/>
        </w:rPr>
        <w:t>银行业</w:t>
      </w:r>
      <w:r>
        <w:rPr>
          <w:rFonts w:hint="eastAsia" w:ascii="仿宋" w:hAnsi="仿宋" w:eastAsia="仿宋" w:cs="仿宋"/>
          <w:color w:val="auto"/>
          <w:spacing w:val="-12"/>
          <w:sz w:val="24"/>
          <w:szCs w:val="24"/>
          <w:highlight w:val="none"/>
          <w:shd w:val="clear" w:color="auto" w:fill="auto"/>
          <w:lang w:bidi="ar"/>
        </w:rPr>
        <w:t>监管机构、税务机关、银行同业公会以及律师协会的处罚或处分</w:t>
      </w:r>
      <w:r>
        <w:rPr>
          <w:rFonts w:hint="eastAsia" w:ascii="仿宋" w:hAnsi="仿宋" w:eastAsia="仿宋" w:cs="仿宋"/>
          <w:color w:val="auto"/>
          <w:spacing w:val="-12"/>
          <w:sz w:val="24"/>
          <w:szCs w:val="24"/>
          <w:highlight w:val="none"/>
          <w:shd w:val="clear" w:color="auto" w:fill="auto"/>
          <w:lang w:eastAsia="zh-CN" w:bidi="ar"/>
        </w:rPr>
        <w:t>；</w:t>
      </w:r>
    </w:p>
    <w:p w14:paraId="32BC5310">
      <w:pPr>
        <w:pStyle w:val="6"/>
        <w:numPr>
          <w:ilvl w:val="0"/>
          <w:numId w:val="0"/>
        </w:numPr>
        <w:shd w:val="clear" w:color="auto" w:fill="auto"/>
        <w:spacing w:beforeLines="0" w:afterLines="0" w:line="400" w:lineRule="exact"/>
        <w:ind w:firstLine="352" w:firstLineChars="200"/>
        <w:rPr>
          <w:rFonts w:hint="eastAsia" w:ascii="仿宋" w:hAnsi="仿宋" w:eastAsia="仿宋" w:cs="仿宋"/>
          <w:color w:val="auto"/>
          <w:spacing w:val="-12"/>
          <w:sz w:val="24"/>
          <w:szCs w:val="24"/>
          <w:highlight w:val="none"/>
          <w:shd w:val="clear" w:color="auto" w:fill="auto"/>
          <w:lang w:bidi="ar"/>
        </w:rPr>
      </w:pPr>
      <w:r>
        <w:rPr>
          <w:rFonts w:hint="default" w:ascii="Calibri" w:hAnsi="Calibri" w:eastAsia="仿宋" w:cs="Calibri"/>
          <w:color w:val="auto"/>
          <w:spacing w:val="-12"/>
          <w:sz w:val="20"/>
          <w:szCs w:val="20"/>
          <w:highlight w:val="none"/>
          <w:shd w:val="clear" w:color="auto" w:fill="auto"/>
          <w:lang w:val="en-US" w:eastAsia="zh-CN" w:bidi="ar"/>
        </w:rPr>
        <w:t>③</w:t>
      </w:r>
      <w:r>
        <w:rPr>
          <w:rFonts w:hint="eastAsia" w:ascii="仿宋" w:hAnsi="仿宋" w:eastAsia="仿宋" w:cs="仿宋"/>
          <w:color w:val="auto"/>
          <w:spacing w:val="-12"/>
          <w:sz w:val="24"/>
          <w:szCs w:val="24"/>
          <w:highlight w:val="none"/>
          <w:shd w:val="clear" w:color="auto" w:fill="auto"/>
          <w:lang w:bidi="ar"/>
        </w:rPr>
        <w:t>负责本项目的律师、服务团队成员</w:t>
      </w:r>
      <w:r>
        <w:rPr>
          <w:rFonts w:hint="eastAsia" w:ascii="仿宋" w:hAnsi="仿宋" w:eastAsia="仿宋" w:cs="仿宋"/>
          <w:color w:val="auto"/>
          <w:spacing w:val="-12"/>
          <w:sz w:val="24"/>
          <w:szCs w:val="24"/>
          <w:highlight w:val="none"/>
          <w:shd w:val="clear" w:color="auto" w:fill="auto"/>
          <w:lang w:val="en-US" w:eastAsia="zh-CN" w:bidi="ar"/>
        </w:rPr>
        <w:t>近三年来未</w:t>
      </w:r>
      <w:r>
        <w:rPr>
          <w:rFonts w:hint="eastAsia" w:ascii="仿宋" w:hAnsi="仿宋" w:eastAsia="仿宋" w:cs="仿宋"/>
          <w:color w:val="auto"/>
          <w:spacing w:val="-12"/>
          <w:sz w:val="24"/>
          <w:szCs w:val="24"/>
          <w:highlight w:val="none"/>
          <w:shd w:val="clear" w:color="auto" w:fill="auto"/>
          <w:lang w:bidi="ar"/>
        </w:rPr>
        <w:t>受过司法行政部门、银行</w:t>
      </w:r>
      <w:r>
        <w:rPr>
          <w:rFonts w:hint="eastAsia" w:ascii="仿宋" w:hAnsi="仿宋" w:eastAsia="仿宋" w:cs="仿宋"/>
          <w:color w:val="auto"/>
          <w:spacing w:val="-12"/>
          <w:sz w:val="24"/>
          <w:szCs w:val="24"/>
          <w:highlight w:val="none"/>
          <w:shd w:val="clear" w:color="auto" w:fill="auto"/>
          <w:lang w:val="en-US" w:eastAsia="zh-CN" w:bidi="ar"/>
        </w:rPr>
        <w:t>业</w:t>
      </w:r>
      <w:r>
        <w:rPr>
          <w:rFonts w:hint="eastAsia" w:ascii="仿宋" w:hAnsi="仿宋" w:eastAsia="仿宋" w:cs="仿宋"/>
          <w:color w:val="auto"/>
          <w:spacing w:val="-12"/>
          <w:sz w:val="24"/>
          <w:szCs w:val="24"/>
          <w:highlight w:val="none"/>
          <w:shd w:val="clear" w:color="auto" w:fill="auto"/>
          <w:lang w:bidi="ar"/>
        </w:rPr>
        <w:t>监管机构、税务机关、银行同业公会以及律师协会的处罚或处分</w:t>
      </w:r>
      <w:r>
        <w:rPr>
          <w:rFonts w:hint="eastAsia" w:ascii="仿宋" w:hAnsi="仿宋" w:eastAsia="仿宋" w:cs="仿宋"/>
          <w:color w:val="auto"/>
          <w:spacing w:val="-12"/>
          <w:sz w:val="24"/>
          <w:szCs w:val="24"/>
          <w:highlight w:val="none"/>
          <w:shd w:val="clear" w:color="auto" w:fill="auto"/>
          <w:lang w:eastAsia="zh-CN" w:bidi="ar"/>
        </w:rPr>
        <w:t>；</w:t>
      </w:r>
    </w:p>
    <w:p w14:paraId="2F3AD011">
      <w:pPr>
        <w:pStyle w:val="6"/>
        <w:numPr>
          <w:ilvl w:val="0"/>
          <w:numId w:val="0"/>
        </w:numPr>
        <w:shd w:val="clear" w:color="auto" w:fill="auto"/>
        <w:spacing w:beforeLines="0" w:afterLines="0" w:line="400" w:lineRule="exact"/>
        <w:ind w:firstLine="352" w:firstLineChars="200"/>
        <w:rPr>
          <w:rFonts w:hint="eastAsia" w:ascii="仿宋" w:hAnsi="仿宋" w:eastAsia="仿宋" w:cs="仿宋"/>
          <w:color w:val="auto"/>
          <w:spacing w:val="-12"/>
          <w:sz w:val="24"/>
          <w:szCs w:val="24"/>
          <w:highlight w:val="none"/>
          <w:shd w:val="clear" w:color="auto" w:fill="auto"/>
          <w:lang w:bidi="ar"/>
        </w:rPr>
      </w:pPr>
      <w:r>
        <w:rPr>
          <w:rFonts w:hint="default" w:ascii="Calibri" w:hAnsi="Calibri" w:eastAsia="仿宋" w:cs="Calibri"/>
          <w:color w:val="auto"/>
          <w:spacing w:val="-12"/>
          <w:sz w:val="20"/>
          <w:szCs w:val="20"/>
          <w:highlight w:val="none"/>
          <w:shd w:val="clear" w:color="auto" w:fill="auto"/>
          <w:lang w:val="en-US" w:eastAsia="zh-CN" w:bidi="ar"/>
        </w:rPr>
        <w:t>④</w:t>
      </w:r>
      <w:r>
        <w:rPr>
          <w:rFonts w:hint="eastAsia" w:ascii="仿宋" w:hAnsi="仿宋" w:eastAsia="仿宋" w:cs="仿宋"/>
          <w:color w:val="auto"/>
          <w:spacing w:val="-12"/>
          <w:sz w:val="24"/>
          <w:szCs w:val="24"/>
          <w:highlight w:val="none"/>
          <w:shd w:val="clear" w:color="auto" w:fill="auto"/>
          <w:lang w:bidi="ar"/>
        </w:rPr>
        <w:t>不存在违反《股份制商业银行独立董事和外部监事制度指引》等监管制度限制性规定的情形</w:t>
      </w:r>
      <w:r>
        <w:rPr>
          <w:rFonts w:hint="eastAsia" w:ascii="仿宋" w:hAnsi="仿宋" w:eastAsia="仿宋" w:cs="仿宋"/>
          <w:color w:val="auto"/>
          <w:spacing w:val="-12"/>
          <w:sz w:val="24"/>
          <w:szCs w:val="24"/>
          <w:highlight w:val="none"/>
          <w:shd w:val="clear" w:color="auto" w:fill="auto"/>
          <w:lang w:eastAsia="zh-CN" w:bidi="ar"/>
        </w:rPr>
        <w:t>；</w:t>
      </w:r>
    </w:p>
    <w:p w14:paraId="43B9EEFC">
      <w:pPr>
        <w:pStyle w:val="6"/>
        <w:keepNext w:val="0"/>
        <w:keepLines w:val="0"/>
        <w:pageBreakBefore w:val="0"/>
        <w:widowControl w:val="0"/>
        <w:numPr>
          <w:ilvl w:val="0"/>
          <w:numId w:val="0"/>
        </w:numPr>
        <w:shd w:val="clear" w:color="auto" w:fill="auto"/>
        <w:kinsoku/>
        <w:wordWrap w:val="0"/>
        <w:overflowPunct/>
        <w:topLinePunct w:val="0"/>
        <w:autoSpaceDE/>
        <w:autoSpaceDN/>
        <w:bidi w:val="0"/>
        <w:adjustRightInd/>
        <w:snapToGrid/>
        <w:spacing w:beforeLines="0" w:afterLines="0" w:line="400" w:lineRule="exact"/>
        <w:ind w:firstLine="352" w:firstLineChars="200"/>
        <w:textAlignment w:val="auto"/>
        <w:rPr>
          <w:rFonts w:hint="eastAsia" w:ascii="仿宋" w:hAnsi="仿宋" w:eastAsia="仿宋" w:cs="仿宋"/>
          <w:color w:val="auto"/>
          <w:spacing w:val="-12"/>
          <w:sz w:val="24"/>
          <w:szCs w:val="24"/>
          <w:highlight w:val="none"/>
          <w:shd w:val="clear" w:color="auto" w:fill="auto"/>
          <w:lang w:bidi="ar"/>
        </w:rPr>
      </w:pPr>
      <w:r>
        <w:rPr>
          <w:rFonts w:hint="default" w:ascii="Calibri" w:hAnsi="Calibri" w:eastAsia="仿宋" w:cs="Calibri"/>
          <w:color w:val="auto"/>
          <w:spacing w:val="-12"/>
          <w:sz w:val="20"/>
          <w:szCs w:val="20"/>
          <w:highlight w:val="none"/>
          <w:shd w:val="clear" w:color="auto" w:fill="auto"/>
          <w:lang w:val="en-US" w:eastAsia="zh-CN" w:bidi="ar"/>
        </w:rPr>
        <w:t>⑤</w:t>
      </w:r>
      <w:r>
        <w:rPr>
          <w:rFonts w:hint="eastAsia" w:ascii="仿宋" w:hAnsi="仿宋" w:eastAsia="仿宋" w:cs="仿宋"/>
          <w:color w:val="auto"/>
          <w:spacing w:val="-12"/>
          <w:sz w:val="24"/>
          <w:szCs w:val="24"/>
          <w:highlight w:val="none"/>
          <w:shd w:val="clear" w:color="auto" w:fill="auto"/>
          <w:lang w:bidi="ar"/>
        </w:rPr>
        <w:t>具备催收系统</w:t>
      </w:r>
      <w:r>
        <w:rPr>
          <w:rFonts w:hint="eastAsia" w:ascii="仿宋" w:hAnsi="仿宋" w:eastAsia="仿宋" w:cs="仿宋"/>
          <w:color w:val="auto"/>
          <w:spacing w:val="-12"/>
          <w:sz w:val="24"/>
          <w:szCs w:val="24"/>
          <w:highlight w:val="none"/>
          <w:shd w:val="clear" w:color="auto" w:fill="auto"/>
          <w:lang w:eastAsia="zh-CN" w:bidi="ar"/>
        </w:rPr>
        <w:t>（或案件管理系统）、</w:t>
      </w:r>
      <w:r>
        <w:rPr>
          <w:rFonts w:hint="eastAsia" w:ascii="仿宋" w:hAnsi="仿宋" w:eastAsia="仿宋" w:cs="仿宋"/>
          <w:color w:val="auto"/>
          <w:spacing w:val="-12"/>
          <w:sz w:val="24"/>
          <w:szCs w:val="24"/>
          <w:highlight w:val="none"/>
          <w:shd w:val="clear" w:color="auto" w:fill="auto"/>
          <w:lang w:bidi="ar"/>
        </w:rPr>
        <w:t>录音系统</w:t>
      </w:r>
      <w:r>
        <w:rPr>
          <w:rFonts w:hint="eastAsia" w:ascii="仿宋" w:hAnsi="仿宋" w:eastAsia="仿宋" w:cs="仿宋"/>
          <w:color w:val="auto"/>
          <w:spacing w:val="-12"/>
          <w:sz w:val="24"/>
          <w:szCs w:val="24"/>
          <w:highlight w:val="none"/>
          <w:shd w:val="clear" w:color="auto" w:fill="auto"/>
          <w:lang w:eastAsia="zh-CN" w:bidi="ar"/>
        </w:rPr>
        <w:t>，系统可以为乙方自建系统或非自建系统，</w:t>
      </w:r>
      <w:r>
        <w:rPr>
          <w:rFonts w:hint="eastAsia" w:ascii="仿宋" w:hAnsi="仿宋" w:eastAsia="仿宋" w:cs="仿宋"/>
          <w:color w:val="auto"/>
          <w:spacing w:val="-12"/>
          <w:sz w:val="24"/>
          <w:szCs w:val="24"/>
          <w:highlight w:val="none"/>
          <w:shd w:val="clear" w:color="auto" w:fill="auto"/>
          <w:lang w:val="en-US" w:eastAsia="zh-CN" w:bidi="ar"/>
        </w:rPr>
        <w:t>催收记录、录音信息应至少保存5年及以上</w:t>
      </w:r>
      <w:r>
        <w:rPr>
          <w:rFonts w:hint="eastAsia" w:ascii="仿宋" w:hAnsi="仿宋" w:eastAsia="仿宋" w:cs="仿宋"/>
          <w:color w:val="auto"/>
          <w:spacing w:val="-12"/>
          <w:sz w:val="24"/>
          <w:szCs w:val="24"/>
          <w:highlight w:val="none"/>
          <w:shd w:val="clear" w:color="auto" w:fill="auto"/>
          <w:lang w:eastAsia="zh-CN" w:bidi="ar"/>
        </w:rPr>
        <w:t>；</w:t>
      </w:r>
    </w:p>
    <w:p w14:paraId="35BAF66D">
      <w:pPr>
        <w:pStyle w:val="6"/>
        <w:keepNext w:val="0"/>
        <w:keepLines w:val="0"/>
        <w:pageBreakBefore w:val="0"/>
        <w:widowControl w:val="0"/>
        <w:numPr>
          <w:ilvl w:val="0"/>
          <w:numId w:val="0"/>
        </w:numPr>
        <w:shd w:val="clear" w:color="auto" w:fill="auto"/>
        <w:kinsoku/>
        <w:wordWrap w:val="0"/>
        <w:overflowPunct/>
        <w:topLinePunct w:val="0"/>
        <w:autoSpaceDE/>
        <w:autoSpaceDN/>
        <w:bidi w:val="0"/>
        <w:adjustRightInd/>
        <w:snapToGrid/>
        <w:spacing w:beforeLines="0" w:afterLines="0" w:line="400" w:lineRule="exact"/>
        <w:ind w:firstLine="352" w:firstLineChars="200"/>
        <w:textAlignment w:val="auto"/>
        <w:rPr>
          <w:rFonts w:hint="eastAsia" w:ascii="仿宋" w:hAnsi="仿宋" w:eastAsia="仿宋" w:cs="仿宋"/>
          <w:color w:val="auto"/>
          <w:spacing w:val="-12"/>
          <w:sz w:val="24"/>
          <w:szCs w:val="24"/>
          <w:highlight w:val="none"/>
          <w:shd w:val="clear" w:color="auto" w:fill="auto"/>
          <w:lang w:bidi="ar"/>
        </w:rPr>
      </w:pPr>
      <w:r>
        <w:rPr>
          <w:rFonts w:hint="default" w:ascii="Calibri" w:hAnsi="Calibri" w:eastAsia="仿宋" w:cs="Calibri"/>
          <w:color w:val="auto"/>
          <w:spacing w:val="-12"/>
          <w:sz w:val="20"/>
          <w:szCs w:val="20"/>
          <w:highlight w:val="none"/>
          <w:shd w:val="clear" w:color="auto" w:fill="auto"/>
          <w:lang w:val="en-US" w:eastAsia="zh-CN" w:bidi="ar"/>
        </w:rPr>
        <w:t>⑥</w:t>
      </w:r>
      <w:r>
        <w:rPr>
          <w:rFonts w:hint="eastAsia" w:ascii="仿宋" w:hAnsi="仿宋" w:eastAsia="仿宋" w:cs="仿宋"/>
          <w:color w:val="auto"/>
          <w:spacing w:val="-12"/>
          <w:sz w:val="24"/>
          <w:szCs w:val="24"/>
          <w:highlight w:val="none"/>
          <w:shd w:val="clear" w:color="auto" w:fill="auto"/>
          <w:lang w:bidi="ar"/>
        </w:rPr>
        <w:t>未被列入“信用中国”网站(www.creditchina.gov.cn)“记录失信被执行人或重大税收违法失信主体或政府</w:t>
      </w:r>
      <w:r>
        <w:rPr>
          <w:rFonts w:hint="eastAsia" w:ascii="仿宋" w:hAnsi="仿宋" w:eastAsia="仿宋" w:cs="仿宋"/>
          <w:color w:val="auto"/>
          <w:spacing w:val="-12"/>
          <w:sz w:val="24"/>
          <w:szCs w:val="24"/>
          <w:highlight w:val="none"/>
          <w:shd w:val="clear" w:color="auto" w:fill="auto"/>
          <w:lang w:eastAsia="zh-CN" w:bidi="ar"/>
        </w:rPr>
        <w:t>合作</w:t>
      </w:r>
      <w:r>
        <w:rPr>
          <w:rFonts w:hint="eastAsia" w:ascii="仿宋" w:hAnsi="仿宋" w:eastAsia="仿宋" w:cs="仿宋"/>
          <w:color w:val="auto"/>
          <w:spacing w:val="-12"/>
          <w:sz w:val="24"/>
          <w:szCs w:val="24"/>
          <w:highlight w:val="none"/>
          <w:shd w:val="clear" w:color="auto" w:fill="auto"/>
          <w:lang w:bidi="ar"/>
        </w:rPr>
        <w:t>严重违法失信行为”记录名单；不处于中国政府</w:t>
      </w:r>
      <w:r>
        <w:rPr>
          <w:rFonts w:hint="eastAsia" w:ascii="仿宋" w:hAnsi="仿宋" w:eastAsia="仿宋" w:cs="仿宋"/>
          <w:color w:val="auto"/>
          <w:spacing w:val="-12"/>
          <w:sz w:val="24"/>
          <w:szCs w:val="24"/>
          <w:highlight w:val="none"/>
          <w:shd w:val="clear" w:color="auto" w:fill="auto"/>
          <w:lang w:eastAsia="zh-CN" w:bidi="ar"/>
        </w:rPr>
        <w:t>合作</w:t>
      </w:r>
      <w:r>
        <w:rPr>
          <w:rFonts w:hint="eastAsia" w:ascii="仿宋" w:hAnsi="仿宋" w:eastAsia="仿宋" w:cs="仿宋"/>
          <w:color w:val="auto"/>
          <w:spacing w:val="-12"/>
          <w:sz w:val="24"/>
          <w:szCs w:val="24"/>
          <w:highlight w:val="none"/>
          <w:shd w:val="clear" w:color="auto" w:fill="auto"/>
          <w:lang w:bidi="ar"/>
        </w:rPr>
        <w:t>网(www.ccgp.gov.cn)“政府</w:t>
      </w:r>
      <w:r>
        <w:rPr>
          <w:rFonts w:hint="eastAsia" w:ascii="仿宋" w:hAnsi="仿宋" w:eastAsia="仿宋" w:cs="仿宋"/>
          <w:color w:val="auto"/>
          <w:spacing w:val="-12"/>
          <w:sz w:val="24"/>
          <w:szCs w:val="24"/>
          <w:highlight w:val="none"/>
          <w:shd w:val="clear" w:color="auto" w:fill="auto"/>
          <w:lang w:eastAsia="zh-CN" w:bidi="ar"/>
        </w:rPr>
        <w:t>合作</w:t>
      </w:r>
      <w:r>
        <w:rPr>
          <w:rFonts w:hint="eastAsia" w:ascii="仿宋" w:hAnsi="仿宋" w:eastAsia="仿宋" w:cs="仿宋"/>
          <w:color w:val="auto"/>
          <w:spacing w:val="-12"/>
          <w:sz w:val="24"/>
          <w:szCs w:val="24"/>
          <w:highlight w:val="none"/>
          <w:shd w:val="clear" w:color="auto" w:fill="auto"/>
          <w:lang w:bidi="ar"/>
        </w:rPr>
        <w:t>严重违法失信行为信息记录”中的禁止参加政府</w:t>
      </w:r>
      <w:r>
        <w:rPr>
          <w:rFonts w:hint="eastAsia" w:ascii="仿宋" w:hAnsi="仿宋" w:eastAsia="仿宋" w:cs="仿宋"/>
          <w:color w:val="auto"/>
          <w:spacing w:val="-12"/>
          <w:sz w:val="24"/>
          <w:szCs w:val="24"/>
          <w:highlight w:val="none"/>
          <w:shd w:val="clear" w:color="auto" w:fill="auto"/>
          <w:lang w:eastAsia="zh-CN" w:bidi="ar"/>
        </w:rPr>
        <w:t>合作</w:t>
      </w:r>
      <w:r>
        <w:rPr>
          <w:rFonts w:hint="eastAsia" w:ascii="仿宋" w:hAnsi="仿宋" w:eastAsia="仿宋" w:cs="仿宋"/>
          <w:color w:val="auto"/>
          <w:spacing w:val="-12"/>
          <w:sz w:val="24"/>
          <w:szCs w:val="24"/>
          <w:highlight w:val="none"/>
          <w:shd w:val="clear" w:color="auto" w:fill="auto"/>
          <w:lang w:bidi="ar"/>
        </w:rPr>
        <w:t>活动期间。</w:t>
      </w:r>
    </w:p>
    <w:p w14:paraId="212E3CBF">
      <w:pPr>
        <w:keepNext w:val="0"/>
        <w:keepLines w:val="0"/>
        <w:pageBreakBefore w:val="0"/>
        <w:widowControl/>
        <w:shd w:val="solid" w:color="FFFFFF" w:fill="auto"/>
        <w:kinsoku/>
        <w:wordWrap/>
        <w:overflowPunct/>
        <w:topLinePunct w:val="0"/>
        <w:autoSpaceDE/>
        <w:autoSpaceDN w:val="0"/>
        <w:bidi w:val="0"/>
        <w:adjustRightInd w:val="0"/>
        <w:snapToGrid/>
        <w:spacing w:before="0" w:beforeLines="0" w:afterLines="0" w:line="400" w:lineRule="exact"/>
        <w:ind w:left="0" w:leftChars="0" w:firstLine="352" w:firstLineChars="200"/>
        <w:jc w:val="left"/>
        <w:textAlignment w:val="auto"/>
        <w:outlineLvl w:val="9"/>
        <w:rPr>
          <w:rFonts w:hint="default" w:ascii="仿宋" w:hAnsi="仿宋" w:eastAsia="仿宋" w:cs="仿宋"/>
          <w:b w:val="0"/>
          <w:bCs w:val="0"/>
          <w:i w:val="0"/>
          <w:snapToGrid/>
          <w:color w:val="auto"/>
          <w:spacing w:val="-11"/>
          <w:sz w:val="24"/>
          <w:szCs w:val="24"/>
          <w:highlight w:val="none"/>
          <w:u w:val="none"/>
          <w:shd w:val="clear" w:color="auto" w:fill="FFFFFF"/>
          <w:lang w:val="en-US" w:eastAsia="zh-CN" w:bidi="ar"/>
        </w:rPr>
      </w:pPr>
      <w:r>
        <w:rPr>
          <w:rFonts w:hint="default" w:ascii="Calibri" w:hAnsi="Calibri" w:eastAsia="仿宋" w:cs="Calibri"/>
          <w:b w:val="0"/>
          <w:bCs w:val="0"/>
          <w:i w:val="0"/>
          <w:snapToGrid/>
          <w:color w:val="auto"/>
          <w:spacing w:val="-12"/>
          <w:sz w:val="20"/>
          <w:szCs w:val="20"/>
          <w:highlight w:val="none"/>
          <w:u w:val="none"/>
          <w:shd w:val="clear" w:color="auto" w:fill="auto"/>
          <w:lang w:val="en-US" w:eastAsia="zh-CN" w:bidi="ar"/>
        </w:rPr>
        <w:t>⑦</w:t>
      </w:r>
      <w:r>
        <w:rPr>
          <w:rFonts w:hint="eastAsia" w:ascii="仿宋" w:hAnsi="仿宋" w:eastAsia="仿宋" w:cs="仿宋"/>
          <w:b w:val="0"/>
          <w:bCs w:val="0"/>
          <w:i w:val="0"/>
          <w:snapToGrid/>
          <w:color w:val="auto"/>
          <w:spacing w:val="-11"/>
          <w:sz w:val="24"/>
          <w:szCs w:val="24"/>
          <w:highlight w:val="none"/>
          <w:u w:val="none"/>
          <w:shd w:val="clear" w:color="auto" w:fill="FFFFFF"/>
          <w:lang w:val="en-US" w:eastAsia="zh-CN" w:bidi="ar"/>
        </w:rPr>
        <w:t>未曾与甲方、甲方所属机构（总行）及各分支机构发生法律纠纷，不在甲方、甲方所属机构（总行）及各分支机构服务供应商黑名单内；</w:t>
      </w:r>
    </w:p>
    <w:p w14:paraId="541AD114">
      <w:pPr>
        <w:keepNext w:val="0"/>
        <w:keepLines w:val="0"/>
        <w:pageBreakBefore w:val="0"/>
        <w:widowControl/>
        <w:numPr>
          <w:ilvl w:val="0"/>
          <w:numId w:val="0"/>
        </w:numPr>
        <w:shd w:val="solid" w:color="FFFFFF" w:fill="auto"/>
        <w:kinsoku/>
        <w:wordWrap/>
        <w:overflowPunct/>
        <w:topLinePunct w:val="0"/>
        <w:autoSpaceDE/>
        <w:autoSpaceDN w:val="0"/>
        <w:bidi w:val="0"/>
        <w:adjustRightInd w:val="0"/>
        <w:snapToGrid/>
        <w:spacing w:beforeLines="0" w:afterLines="0" w:line="400" w:lineRule="exact"/>
        <w:ind w:firstLine="352" w:firstLineChars="200"/>
        <w:jc w:val="left"/>
        <w:textAlignment w:val="auto"/>
        <w:outlineLvl w:val="9"/>
        <w:rPr>
          <w:rFonts w:hint="eastAsia" w:ascii="仿宋" w:hAnsi="仿宋" w:eastAsia="仿宋" w:cs="仿宋"/>
          <w:color w:val="auto"/>
          <w:spacing w:val="-12"/>
          <w:sz w:val="24"/>
          <w:szCs w:val="24"/>
          <w:highlight w:val="none"/>
          <w:shd w:val="clear" w:color="auto" w:fill="auto"/>
          <w:lang w:bidi="ar"/>
        </w:rPr>
      </w:pPr>
      <w:r>
        <w:rPr>
          <w:rFonts w:hint="default" w:ascii="Calibri" w:hAnsi="Calibri" w:eastAsia="仿宋" w:cs="Calibri"/>
          <w:b w:val="0"/>
          <w:color w:val="auto"/>
          <w:spacing w:val="-12"/>
          <w:kern w:val="2"/>
          <w:sz w:val="20"/>
          <w:szCs w:val="20"/>
          <w:highlight w:val="none"/>
          <w:u w:val="none"/>
          <w:shd w:val="clear" w:color="auto" w:fill="auto"/>
          <w:lang w:val="en-US" w:eastAsia="zh-CN" w:bidi="ar"/>
        </w:rPr>
        <w:t>⑧</w:t>
      </w:r>
      <w:r>
        <w:rPr>
          <w:rFonts w:hint="eastAsia" w:ascii="仿宋" w:hAnsi="仿宋" w:eastAsia="仿宋" w:cs="仿宋"/>
          <w:b w:val="0"/>
          <w:color w:val="auto"/>
          <w:spacing w:val="-11"/>
          <w:kern w:val="2"/>
          <w:sz w:val="24"/>
          <w:szCs w:val="24"/>
          <w:highlight w:val="none"/>
          <w:shd w:val="clear" w:color="auto" w:fill="FFFFFF"/>
          <w:lang w:val="en-US" w:eastAsia="zh-CN" w:bidi="ar"/>
        </w:rPr>
        <w:t>不存在法律法规或监管规定限制或禁止为</w:t>
      </w:r>
      <w:r>
        <w:rPr>
          <w:rFonts w:hint="eastAsia" w:ascii="仿宋" w:hAnsi="仿宋" w:eastAsia="仿宋" w:cs="仿宋"/>
          <w:b w:val="0"/>
          <w:bCs w:val="0"/>
          <w:i w:val="0"/>
          <w:snapToGrid/>
          <w:color w:val="auto"/>
          <w:spacing w:val="-11"/>
          <w:sz w:val="24"/>
          <w:szCs w:val="24"/>
          <w:highlight w:val="none"/>
          <w:u w:val="none"/>
          <w:shd w:val="clear" w:color="auto" w:fill="FFFFFF"/>
          <w:lang w:val="en-US" w:eastAsia="zh-CN" w:bidi="ar"/>
        </w:rPr>
        <w:t>甲方、甲方所属机构（总行）及各分支机构</w:t>
      </w:r>
      <w:r>
        <w:rPr>
          <w:rFonts w:hint="eastAsia" w:ascii="仿宋" w:hAnsi="仿宋" w:eastAsia="仿宋" w:cs="仿宋"/>
          <w:b w:val="0"/>
          <w:color w:val="auto"/>
          <w:spacing w:val="-11"/>
          <w:kern w:val="2"/>
          <w:sz w:val="24"/>
          <w:szCs w:val="24"/>
          <w:highlight w:val="none"/>
          <w:shd w:val="clear" w:color="auto" w:fill="FFFFFF"/>
          <w:lang w:val="en-US" w:eastAsia="zh-CN" w:bidi="ar"/>
        </w:rPr>
        <w:t>提供服务的情形。</w:t>
      </w:r>
    </w:p>
    <w:p w14:paraId="13072BCA">
      <w:pPr>
        <w:pStyle w:val="6"/>
        <w:numPr>
          <w:ilvl w:val="0"/>
          <w:numId w:val="0"/>
        </w:numPr>
        <w:shd w:val="clear" w:color="auto" w:fill="auto"/>
        <w:spacing w:beforeLines="0" w:afterLines="0" w:line="400" w:lineRule="exact"/>
        <w:ind w:firstLine="432" w:firstLineChars="200"/>
        <w:rPr>
          <w:rFonts w:hint="eastAsia" w:ascii="仿宋" w:hAnsi="仿宋" w:eastAsia="仿宋" w:cs="仿宋"/>
          <w:color w:val="auto"/>
          <w:spacing w:val="-12"/>
          <w:sz w:val="24"/>
          <w:szCs w:val="24"/>
          <w:highlight w:val="none"/>
          <w:shd w:val="clear" w:color="auto" w:fill="auto"/>
          <w:lang w:val="en-US" w:eastAsia="zh-CN" w:bidi="ar"/>
        </w:rPr>
      </w:pPr>
      <w:r>
        <w:rPr>
          <w:rFonts w:hint="eastAsia" w:ascii="仿宋" w:hAnsi="仿宋" w:eastAsia="仿宋" w:cs="仿宋"/>
          <w:color w:val="auto"/>
          <w:spacing w:val="-12"/>
          <w:sz w:val="24"/>
          <w:szCs w:val="24"/>
          <w:highlight w:val="none"/>
          <w:shd w:val="clear" w:color="auto" w:fill="auto"/>
          <w:lang w:val="en-US" w:eastAsia="zh-CN" w:bidi="ar"/>
        </w:rPr>
        <w:t>（2）</w:t>
      </w:r>
      <w:r>
        <w:rPr>
          <w:rFonts w:hint="eastAsia" w:ascii="仿宋" w:hAnsi="仿宋" w:eastAsia="仿宋" w:cs="仿宋"/>
          <w:color w:val="auto"/>
          <w:spacing w:val="-12"/>
          <w:sz w:val="24"/>
          <w:szCs w:val="24"/>
          <w:highlight w:val="none"/>
          <w:shd w:val="clear" w:color="auto" w:fill="auto"/>
          <w:lang w:eastAsia="zh-CN" w:bidi="ar"/>
        </w:rPr>
        <w:t>乙方</w:t>
      </w:r>
      <w:r>
        <w:rPr>
          <w:rFonts w:hint="eastAsia" w:ascii="仿宋" w:hAnsi="仿宋" w:eastAsia="仿宋" w:cs="仿宋"/>
          <w:color w:val="auto"/>
          <w:spacing w:val="-12"/>
          <w:sz w:val="24"/>
          <w:szCs w:val="24"/>
          <w:highlight w:val="none"/>
          <w:shd w:val="clear" w:color="auto" w:fill="auto"/>
          <w:lang w:bidi="ar"/>
        </w:rPr>
        <w:t>技术能力</w:t>
      </w:r>
    </w:p>
    <w:p w14:paraId="5AA04985">
      <w:pPr>
        <w:pStyle w:val="6"/>
        <w:numPr>
          <w:ilvl w:val="0"/>
          <w:numId w:val="0"/>
        </w:numPr>
        <w:shd w:val="clear" w:color="auto" w:fill="auto"/>
        <w:spacing w:beforeLines="0" w:afterLines="0" w:line="400" w:lineRule="exact"/>
        <w:ind w:firstLine="352" w:firstLineChars="200"/>
        <w:rPr>
          <w:rFonts w:hint="eastAsia" w:ascii="仿宋" w:hAnsi="仿宋" w:eastAsia="仿宋" w:cs="仿宋"/>
          <w:i w:val="0"/>
          <w:color w:val="auto"/>
          <w:spacing w:val="-12"/>
          <w:kern w:val="2"/>
          <w:sz w:val="24"/>
          <w:szCs w:val="24"/>
          <w:highlight w:val="none"/>
          <w:u w:val="none"/>
          <w:shd w:val="clear" w:color="auto" w:fill="auto"/>
          <w:lang w:val="en-US" w:eastAsia="zh-CN" w:bidi="ar"/>
        </w:rPr>
      </w:pPr>
      <w:r>
        <w:rPr>
          <w:rFonts w:hint="default" w:ascii="Calibri" w:hAnsi="Calibri" w:eastAsia="仿宋" w:cs="Calibri"/>
          <w:color w:val="auto"/>
          <w:spacing w:val="-12"/>
          <w:sz w:val="20"/>
          <w:szCs w:val="20"/>
          <w:highlight w:val="none"/>
          <w:shd w:val="clear" w:color="auto" w:fill="auto"/>
          <w:lang w:val="en-US" w:eastAsia="zh-CN" w:bidi="ar"/>
        </w:rPr>
        <w:t>①</w:t>
      </w:r>
      <w:r>
        <w:rPr>
          <w:rFonts w:hint="eastAsia" w:ascii="仿宋" w:hAnsi="仿宋" w:eastAsia="仿宋" w:cs="仿宋"/>
          <w:i w:val="0"/>
          <w:color w:val="auto"/>
          <w:spacing w:val="-12"/>
          <w:kern w:val="2"/>
          <w:sz w:val="24"/>
          <w:szCs w:val="24"/>
          <w:highlight w:val="none"/>
          <w:u w:val="none"/>
          <w:shd w:val="clear" w:color="auto" w:fill="auto"/>
          <w:lang w:val="en-US" w:eastAsia="zh-CN" w:bidi="ar"/>
        </w:rPr>
        <w:t>律所</w:t>
      </w:r>
      <w:r>
        <w:rPr>
          <w:rFonts w:hint="eastAsia" w:ascii="仿宋" w:hAnsi="仿宋" w:eastAsia="仿宋" w:cs="仿宋"/>
          <w:color w:val="auto"/>
          <w:spacing w:val="-12"/>
          <w:sz w:val="24"/>
          <w:szCs w:val="24"/>
          <w:highlight w:val="none"/>
          <w:shd w:val="clear" w:color="auto" w:fill="auto"/>
          <w:lang w:val="en-US" w:eastAsia="zh-CN" w:bidi="ar"/>
        </w:rPr>
        <w:t>主办律师</w:t>
      </w:r>
      <w:r>
        <w:rPr>
          <w:rFonts w:hint="eastAsia" w:ascii="仿宋" w:hAnsi="仿宋" w:eastAsia="仿宋" w:cs="仿宋"/>
          <w:i w:val="0"/>
          <w:color w:val="auto"/>
          <w:spacing w:val="-12"/>
          <w:kern w:val="2"/>
          <w:sz w:val="24"/>
          <w:szCs w:val="24"/>
          <w:highlight w:val="none"/>
          <w:u w:val="none"/>
          <w:shd w:val="clear" w:color="auto" w:fill="auto"/>
          <w:lang w:val="en-US" w:eastAsia="zh-CN" w:bidi="ar"/>
        </w:rPr>
        <w:t>累计代理</w:t>
      </w:r>
      <w:r>
        <w:rPr>
          <w:rFonts w:hint="eastAsia" w:ascii="仿宋" w:hAnsi="仿宋" w:eastAsia="仿宋" w:cs="仿宋"/>
          <w:b w:val="0"/>
          <w:bCs w:val="0"/>
          <w:i w:val="0"/>
          <w:snapToGrid/>
          <w:color w:val="auto"/>
          <w:spacing w:val="-23"/>
          <w:sz w:val="24"/>
          <w:szCs w:val="24"/>
          <w:highlight w:val="none"/>
          <w:u w:val="none"/>
          <w:shd w:val="clear" w:color="auto" w:fill="auto"/>
          <w:lang w:val="en-US" w:eastAsia="zh-CN" w:bidi="ar"/>
        </w:rPr>
        <w:t>信用卡</w:t>
      </w:r>
      <w:r>
        <w:rPr>
          <w:rFonts w:hint="eastAsia" w:ascii="仿宋" w:hAnsi="仿宋" w:eastAsia="仿宋" w:cs="仿宋"/>
          <w:i w:val="0"/>
          <w:color w:val="auto"/>
          <w:spacing w:val="-12"/>
          <w:kern w:val="2"/>
          <w:sz w:val="24"/>
          <w:szCs w:val="24"/>
          <w:highlight w:val="none"/>
          <w:u w:val="none"/>
          <w:shd w:val="clear" w:color="auto" w:fill="auto"/>
          <w:lang w:val="en-US" w:eastAsia="zh-CN" w:bidi="ar"/>
        </w:rPr>
        <w:t>逾期资产批量清收案件的年限≥3年；</w:t>
      </w:r>
    </w:p>
    <w:p w14:paraId="267F63E1">
      <w:pPr>
        <w:pStyle w:val="6"/>
        <w:numPr>
          <w:ilvl w:val="0"/>
          <w:numId w:val="0"/>
        </w:numPr>
        <w:shd w:val="clear" w:color="auto" w:fill="auto"/>
        <w:spacing w:beforeLines="0" w:afterLines="0" w:line="400" w:lineRule="exact"/>
        <w:ind w:firstLine="352" w:firstLineChars="200"/>
        <w:rPr>
          <w:rFonts w:hint="eastAsia" w:ascii="仿宋" w:hAnsi="仿宋" w:eastAsia="仿宋" w:cs="仿宋"/>
          <w:i w:val="0"/>
          <w:color w:val="auto"/>
          <w:spacing w:val="-12"/>
          <w:kern w:val="2"/>
          <w:sz w:val="24"/>
          <w:szCs w:val="24"/>
          <w:highlight w:val="none"/>
          <w:u w:val="none"/>
          <w:shd w:val="clear" w:color="auto" w:fill="auto"/>
          <w:lang w:val="en-US" w:eastAsia="zh-CN" w:bidi="ar"/>
        </w:rPr>
      </w:pPr>
      <w:r>
        <w:rPr>
          <w:rFonts w:hint="default" w:ascii="Calibri" w:hAnsi="Calibri" w:eastAsia="仿宋" w:cs="Calibri"/>
          <w:color w:val="auto"/>
          <w:spacing w:val="-12"/>
          <w:sz w:val="20"/>
          <w:szCs w:val="20"/>
          <w:highlight w:val="none"/>
          <w:shd w:val="clear" w:color="auto" w:fill="auto"/>
          <w:lang w:val="en-US" w:eastAsia="zh-CN" w:bidi="ar"/>
        </w:rPr>
        <w:t>②</w:t>
      </w:r>
      <w:r>
        <w:rPr>
          <w:rFonts w:hint="eastAsia" w:ascii="仿宋" w:hAnsi="仿宋" w:eastAsia="仿宋" w:cs="仿宋"/>
          <w:i w:val="0"/>
          <w:color w:val="auto"/>
          <w:spacing w:val="-12"/>
          <w:kern w:val="2"/>
          <w:sz w:val="24"/>
          <w:szCs w:val="24"/>
          <w:highlight w:val="none"/>
          <w:u w:val="none"/>
          <w:shd w:val="clear" w:color="auto" w:fill="auto"/>
          <w:lang w:val="en-US" w:eastAsia="zh-CN" w:bidi="ar"/>
        </w:rPr>
        <w:t>律所主办律师需至少有一项与国有银行、全国性股份制银行、城商行的</w:t>
      </w:r>
      <w:r>
        <w:rPr>
          <w:rFonts w:hint="eastAsia" w:ascii="仿宋" w:hAnsi="仿宋" w:eastAsia="仿宋" w:cs="仿宋"/>
          <w:b w:val="0"/>
          <w:bCs w:val="0"/>
          <w:i w:val="0"/>
          <w:snapToGrid/>
          <w:color w:val="auto"/>
          <w:spacing w:val="-23"/>
          <w:sz w:val="24"/>
          <w:szCs w:val="24"/>
          <w:highlight w:val="none"/>
          <w:u w:val="none"/>
          <w:shd w:val="clear" w:color="auto" w:fill="auto"/>
          <w:lang w:val="en-US" w:eastAsia="zh-CN" w:bidi="ar"/>
        </w:rPr>
        <w:t>信用卡</w:t>
      </w:r>
      <w:r>
        <w:rPr>
          <w:rFonts w:hint="eastAsia" w:ascii="仿宋" w:hAnsi="仿宋" w:eastAsia="仿宋" w:cs="仿宋"/>
          <w:i w:val="0"/>
          <w:color w:val="auto"/>
          <w:spacing w:val="-12"/>
          <w:kern w:val="2"/>
          <w:sz w:val="24"/>
          <w:szCs w:val="24"/>
          <w:highlight w:val="none"/>
          <w:u w:val="none"/>
          <w:shd w:val="clear" w:color="auto" w:fill="auto"/>
          <w:lang w:val="en-US" w:eastAsia="zh-CN" w:bidi="ar"/>
        </w:rPr>
        <w:t>逾期资产批量清收处置代理案例；</w:t>
      </w:r>
    </w:p>
    <w:p w14:paraId="3D5D5DD5">
      <w:pPr>
        <w:keepNext w:val="0"/>
        <w:keepLines w:val="0"/>
        <w:pageBreakBefore w:val="0"/>
        <w:widowControl/>
        <w:shd w:val="solid" w:color="FFFFFF" w:fill="auto"/>
        <w:kinsoku/>
        <w:wordWrap/>
        <w:overflowPunct/>
        <w:topLinePunct w:val="0"/>
        <w:autoSpaceDE/>
        <w:autoSpaceDN w:val="0"/>
        <w:bidi w:val="0"/>
        <w:adjustRightInd w:val="0"/>
        <w:snapToGrid/>
        <w:spacing w:before="0" w:beforeLines="0" w:after="0" w:afterLines="0" w:line="400" w:lineRule="exact"/>
        <w:ind w:left="0" w:leftChars="0" w:firstLine="436" w:firstLineChars="200"/>
        <w:jc w:val="left"/>
        <w:textAlignment w:val="auto"/>
        <w:outlineLvl w:val="9"/>
        <w:rPr>
          <w:rFonts w:hint="eastAsia" w:ascii="仿宋" w:hAnsi="仿宋" w:eastAsia="仿宋" w:cs="仿宋"/>
          <w:b w:val="0"/>
          <w:color w:val="auto"/>
          <w:spacing w:val="-11"/>
          <w:kern w:val="2"/>
          <w:sz w:val="24"/>
          <w:szCs w:val="24"/>
          <w:highlight w:val="none"/>
          <w:shd w:val="clear" w:color="auto" w:fill="FFFFFF"/>
          <w:lang w:val="en-US" w:eastAsia="zh-CN" w:bidi="ar"/>
        </w:rPr>
      </w:pPr>
      <w:r>
        <w:rPr>
          <w:rFonts w:hint="eastAsia" w:ascii="仿宋" w:hAnsi="仿宋" w:eastAsia="仿宋" w:cs="仿宋"/>
          <w:b w:val="0"/>
          <w:bCs w:val="0"/>
          <w:i w:val="0"/>
          <w:snapToGrid/>
          <w:color w:val="auto"/>
          <w:spacing w:val="-11"/>
          <w:sz w:val="24"/>
          <w:szCs w:val="24"/>
          <w:highlight w:val="none"/>
          <w:u w:val="none"/>
          <w:shd w:val="clear" w:color="auto" w:fill="FFFFFF"/>
          <w:lang w:val="en-US" w:eastAsia="zh-CN" w:bidi="ar"/>
        </w:rPr>
        <w:t>（3）乙方</w:t>
      </w:r>
      <w:r>
        <w:rPr>
          <w:rFonts w:hint="eastAsia" w:ascii="仿宋" w:hAnsi="仿宋" w:eastAsia="仿宋" w:cs="仿宋"/>
          <w:b w:val="0"/>
          <w:color w:val="auto"/>
          <w:spacing w:val="-11"/>
          <w:kern w:val="2"/>
          <w:sz w:val="24"/>
          <w:szCs w:val="24"/>
          <w:highlight w:val="none"/>
          <w:shd w:val="clear" w:color="auto" w:fill="FFFFFF"/>
          <w:lang w:val="en-US" w:eastAsia="zh-CN" w:bidi="ar"/>
        </w:rPr>
        <w:t>应当接受以下管理要求：</w:t>
      </w:r>
    </w:p>
    <w:p w14:paraId="7A03640D">
      <w:pPr>
        <w:keepNext w:val="0"/>
        <w:keepLines w:val="0"/>
        <w:pageBreakBefore w:val="0"/>
        <w:widowControl/>
        <w:shd w:val="solid" w:color="FFFFFF" w:fill="auto"/>
        <w:kinsoku/>
        <w:wordWrap/>
        <w:overflowPunct/>
        <w:topLinePunct w:val="0"/>
        <w:autoSpaceDE/>
        <w:autoSpaceDN w:val="0"/>
        <w:bidi w:val="0"/>
        <w:adjustRightInd w:val="0"/>
        <w:snapToGrid/>
        <w:spacing w:before="0" w:beforeLines="0" w:after="0" w:afterLines="0" w:line="400" w:lineRule="exact"/>
        <w:ind w:left="0" w:leftChars="0" w:firstLine="352" w:firstLineChars="200"/>
        <w:jc w:val="left"/>
        <w:textAlignment w:val="auto"/>
        <w:outlineLvl w:val="9"/>
        <w:rPr>
          <w:rFonts w:hint="eastAsia" w:ascii="仿宋" w:hAnsi="仿宋" w:eastAsia="仿宋" w:cs="仿宋"/>
          <w:b w:val="0"/>
          <w:color w:val="auto"/>
          <w:spacing w:val="-11"/>
          <w:kern w:val="2"/>
          <w:sz w:val="24"/>
          <w:szCs w:val="24"/>
          <w:highlight w:val="none"/>
          <w:shd w:val="clear" w:color="auto" w:fill="FFFFFF"/>
          <w:lang w:val="en-US" w:eastAsia="zh-CN" w:bidi="ar"/>
        </w:rPr>
      </w:pPr>
      <w:r>
        <w:rPr>
          <w:rFonts w:hint="default" w:ascii="Calibri" w:hAnsi="Calibri" w:eastAsia="仿宋" w:cs="Calibri"/>
          <w:color w:val="auto"/>
          <w:spacing w:val="-12"/>
          <w:sz w:val="20"/>
          <w:szCs w:val="20"/>
          <w:highlight w:val="none"/>
          <w:shd w:val="clear" w:color="auto" w:fill="auto"/>
          <w:lang w:val="en-US" w:eastAsia="zh-CN" w:bidi="ar"/>
        </w:rPr>
        <w:t>①</w:t>
      </w:r>
      <w:r>
        <w:rPr>
          <w:rFonts w:hint="eastAsia" w:ascii="仿宋" w:hAnsi="仿宋" w:eastAsia="仿宋" w:cs="仿宋"/>
          <w:b w:val="0"/>
          <w:color w:val="auto"/>
          <w:spacing w:val="-11"/>
          <w:kern w:val="2"/>
          <w:sz w:val="24"/>
          <w:szCs w:val="24"/>
          <w:highlight w:val="none"/>
          <w:shd w:val="clear" w:color="auto" w:fill="FFFFFF"/>
          <w:lang w:val="en-US" w:eastAsia="zh-CN" w:bidi="ar"/>
        </w:rPr>
        <w:t>遵守甲方各项规章制度；</w:t>
      </w:r>
    </w:p>
    <w:p w14:paraId="6A4DF2EC">
      <w:pPr>
        <w:keepNext w:val="0"/>
        <w:keepLines w:val="0"/>
        <w:widowControl/>
        <w:shd w:val="solid" w:color="FFFFFF" w:fill="auto"/>
        <w:autoSpaceDN w:val="0"/>
        <w:adjustRightInd w:val="0"/>
        <w:spacing w:beforeLines="0" w:afterLines="0" w:line="400" w:lineRule="exact"/>
        <w:ind w:firstLine="352" w:firstLineChars="200"/>
        <w:jc w:val="left"/>
        <w:outlineLvl w:val="9"/>
        <w:rPr>
          <w:rFonts w:hint="eastAsia" w:ascii="仿宋" w:hAnsi="仿宋" w:eastAsia="仿宋" w:cs="仿宋"/>
          <w:b w:val="0"/>
          <w:color w:val="auto"/>
          <w:spacing w:val="-11"/>
          <w:kern w:val="2"/>
          <w:sz w:val="24"/>
          <w:szCs w:val="24"/>
          <w:highlight w:val="none"/>
          <w:shd w:val="clear" w:color="auto" w:fill="FFFFFF"/>
          <w:lang w:val="en-US" w:eastAsia="zh-CN" w:bidi="ar"/>
        </w:rPr>
      </w:pPr>
      <w:r>
        <w:rPr>
          <w:rFonts w:hint="default" w:ascii="Calibri" w:hAnsi="Calibri" w:eastAsia="仿宋" w:cs="Calibri"/>
          <w:color w:val="auto"/>
          <w:spacing w:val="-12"/>
          <w:sz w:val="20"/>
          <w:szCs w:val="20"/>
          <w:highlight w:val="none"/>
          <w:shd w:val="clear" w:color="auto" w:fill="auto"/>
          <w:lang w:val="en-US" w:eastAsia="zh-CN" w:bidi="ar"/>
        </w:rPr>
        <w:t>②</w:t>
      </w:r>
      <w:r>
        <w:rPr>
          <w:rFonts w:hint="eastAsia" w:ascii="仿宋" w:hAnsi="仿宋" w:eastAsia="仿宋" w:cs="仿宋"/>
          <w:b w:val="0"/>
          <w:color w:val="auto"/>
          <w:spacing w:val="-11"/>
          <w:kern w:val="2"/>
          <w:sz w:val="24"/>
          <w:szCs w:val="24"/>
          <w:highlight w:val="none"/>
          <w:shd w:val="clear" w:color="auto" w:fill="FFFFFF"/>
          <w:lang w:val="en-US" w:eastAsia="zh-CN" w:bidi="ar"/>
        </w:rPr>
        <w:t>接受甲方的考核评价；</w:t>
      </w:r>
    </w:p>
    <w:p w14:paraId="7F85FA63">
      <w:pPr>
        <w:pStyle w:val="4"/>
        <w:keepNext w:val="0"/>
        <w:keepLines w:val="0"/>
        <w:widowControl/>
        <w:shd w:val="solid" w:color="FFFFFF" w:fill="auto"/>
        <w:autoSpaceDN w:val="0"/>
        <w:adjustRightInd w:val="0"/>
        <w:spacing w:beforeLines="0" w:afterLines="0" w:line="400" w:lineRule="exact"/>
        <w:ind w:firstLine="352" w:firstLineChars="200"/>
        <w:jc w:val="left"/>
        <w:outlineLvl w:val="9"/>
        <w:rPr>
          <w:rFonts w:hint="eastAsia" w:ascii="仿宋" w:hAnsi="仿宋" w:eastAsia="仿宋" w:cs="仿宋"/>
          <w:b w:val="0"/>
          <w:color w:val="auto"/>
          <w:spacing w:val="-11"/>
          <w:kern w:val="2"/>
          <w:sz w:val="24"/>
          <w:szCs w:val="24"/>
          <w:highlight w:val="none"/>
          <w:shd w:val="clear" w:color="auto" w:fill="FFFFFF"/>
          <w:lang w:val="en-US" w:eastAsia="zh-CN" w:bidi="ar"/>
        </w:rPr>
      </w:pPr>
      <w:r>
        <w:rPr>
          <w:rFonts w:hint="default" w:ascii="Calibri" w:hAnsi="Calibri" w:eastAsia="仿宋" w:cs="Calibri"/>
          <w:color w:val="auto"/>
          <w:spacing w:val="-12"/>
          <w:sz w:val="20"/>
          <w:szCs w:val="20"/>
          <w:highlight w:val="none"/>
          <w:shd w:val="clear" w:color="auto" w:fill="auto"/>
          <w:lang w:val="en-US" w:eastAsia="zh-CN" w:bidi="ar"/>
        </w:rPr>
        <w:t>③</w:t>
      </w:r>
      <w:r>
        <w:rPr>
          <w:rFonts w:hint="eastAsia" w:ascii="仿宋" w:hAnsi="仿宋" w:eastAsia="仿宋" w:cs="仿宋"/>
          <w:b w:val="0"/>
          <w:color w:val="auto"/>
          <w:spacing w:val="-11"/>
          <w:kern w:val="2"/>
          <w:sz w:val="24"/>
          <w:szCs w:val="24"/>
          <w:highlight w:val="none"/>
          <w:shd w:val="clear" w:color="auto" w:fill="FFFFFF"/>
          <w:lang w:val="en-US" w:eastAsia="zh-CN" w:bidi="ar"/>
        </w:rPr>
        <w:t>接受甲方安排的内</w:t>
      </w:r>
      <w:r>
        <w:rPr>
          <w:rFonts w:hint="eastAsia" w:ascii="仿宋" w:hAnsi="仿宋" w:eastAsia="仿宋" w:cs="仿宋"/>
          <w:color w:val="auto"/>
          <w:spacing w:val="-11"/>
          <w:sz w:val="24"/>
          <w:szCs w:val="24"/>
          <w:highlight w:val="none"/>
          <w:shd w:val="clear" w:color="auto" w:fill="FFFFFF"/>
          <w:lang w:eastAsia="zh-CN" w:bidi="ar"/>
        </w:rPr>
        <w:t>外部审计、以及按甲方要求，配合甲方应对监管机构</w:t>
      </w:r>
      <w:r>
        <w:rPr>
          <w:rFonts w:hint="eastAsia" w:ascii="仿宋" w:hAnsi="仿宋" w:eastAsia="仿宋" w:cs="仿宋"/>
          <w:b w:val="0"/>
          <w:color w:val="auto"/>
          <w:spacing w:val="-11"/>
          <w:kern w:val="2"/>
          <w:sz w:val="24"/>
          <w:szCs w:val="24"/>
          <w:highlight w:val="none"/>
          <w:shd w:val="clear" w:color="auto" w:fill="FFFFFF"/>
          <w:lang w:val="en-US" w:eastAsia="zh-CN" w:bidi="ar"/>
        </w:rPr>
        <w:t>对代理案件及代理行为的监督、检查。</w:t>
      </w:r>
    </w:p>
    <w:p w14:paraId="1384ADDF">
      <w:pPr>
        <w:pStyle w:val="4"/>
        <w:keepNext w:val="0"/>
        <w:keepLines w:val="0"/>
        <w:widowControl/>
        <w:shd w:val="solid" w:color="FFFFFF" w:fill="auto"/>
        <w:autoSpaceDN w:val="0"/>
        <w:adjustRightInd w:val="0"/>
        <w:spacing w:beforeLines="0" w:afterLines="0" w:line="400" w:lineRule="exact"/>
        <w:ind w:firstLine="436" w:firstLineChars="200"/>
        <w:jc w:val="left"/>
        <w:outlineLvl w:val="9"/>
        <w:rPr>
          <w:rFonts w:hint="eastAsia" w:ascii="仿宋" w:hAnsi="仿宋" w:eastAsia="仿宋" w:cs="仿宋"/>
          <w:b w:val="0"/>
          <w:color w:val="auto"/>
          <w:spacing w:val="-11"/>
          <w:kern w:val="2"/>
          <w:sz w:val="24"/>
          <w:szCs w:val="24"/>
          <w:highlight w:val="none"/>
          <w:u w:val="none"/>
          <w:shd w:val="clear" w:color="auto" w:fill="FFFFFF"/>
          <w:lang w:val="en-US" w:eastAsia="zh-CN" w:bidi="ar"/>
        </w:rPr>
      </w:pPr>
      <w:r>
        <w:rPr>
          <w:rFonts w:hint="eastAsia" w:ascii="仿宋" w:hAnsi="仿宋" w:eastAsia="仿宋" w:cs="仿宋"/>
          <w:b w:val="0"/>
          <w:bCs w:val="0"/>
          <w:color w:val="auto"/>
          <w:spacing w:val="-11"/>
          <w:kern w:val="2"/>
          <w:sz w:val="24"/>
          <w:szCs w:val="24"/>
          <w:highlight w:val="none"/>
          <w:u w:val="none"/>
          <w:shd w:val="clear" w:color="auto" w:fill="FFFFFF"/>
          <w:lang w:val="en-US" w:eastAsia="zh-CN" w:bidi="ar"/>
        </w:rPr>
        <w:t>（4）乙方</w:t>
      </w:r>
      <w:r>
        <w:rPr>
          <w:rFonts w:hint="eastAsia" w:ascii="仿宋" w:hAnsi="仿宋" w:eastAsia="仿宋" w:cs="仿宋"/>
          <w:b w:val="0"/>
          <w:color w:val="auto"/>
          <w:spacing w:val="-11"/>
          <w:kern w:val="2"/>
          <w:sz w:val="24"/>
          <w:szCs w:val="24"/>
          <w:highlight w:val="none"/>
          <w:u w:val="none"/>
          <w:shd w:val="clear" w:color="auto" w:fill="FFFFFF"/>
          <w:lang w:val="en-US" w:eastAsia="zh-CN" w:bidi="ar"/>
        </w:rPr>
        <w:t>指派的律师应当同时具备以下条件：</w:t>
      </w:r>
    </w:p>
    <w:p w14:paraId="3DE34A8F">
      <w:pPr>
        <w:keepNext w:val="0"/>
        <w:keepLines w:val="0"/>
        <w:pageBreakBefore w:val="0"/>
        <w:widowControl/>
        <w:shd w:val="solid" w:color="FFFFFF" w:fill="auto"/>
        <w:kinsoku/>
        <w:wordWrap/>
        <w:overflowPunct/>
        <w:topLinePunct w:val="0"/>
        <w:autoSpaceDE/>
        <w:autoSpaceDN w:val="0"/>
        <w:bidi w:val="0"/>
        <w:adjustRightInd w:val="0"/>
        <w:snapToGrid/>
        <w:spacing w:before="0" w:beforeLines="0" w:afterLines="0" w:line="400" w:lineRule="exact"/>
        <w:ind w:left="0" w:leftChars="0" w:firstLine="352" w:firstLineChars="200"/>
        <w:jc w:val="left"/>
        <w:textAlignment w:val="auto"/>
        <w:outlineLvl w:val="9"/>
        <w:rPr>
          <w:rFonts w:hint="eastAsia" w:ascii="仿宋" w:hAnsi="仿宋" w:eastAsia="仿宋" w:cs="仿宋"/>
          <w:b w:val="0"/>
          <w:color w:val="auto"/>
          <w:spacing w:val="-11"/>
          <w:kern w:val="2"/>
          <w:sz w:val="24"/>
          <w:szCs w:val="24"/>
          <w:highlight w:val="none"/>
          <w:shd w:val="clear" w:color="auto" w:fill="FFFFFF"/>
          <w:lang w:val="en-US" w:eastAsia="zh-CN" w:bidi="ar"/>
        </w:rPr>
      </w:pPr>
      <w:r>
        <w:rPr>
          <w:rFonts w:hint="default" w:ascii="Calibri" w:hAnsi="Calibri" w:eastAsia="仿宋" w:cs="Calibri"/>
          <w:color w:val="auto"/>
          <w:spacing w:val="-12"/>
          <w:sz w:val="20"/>
          <w:szCs w:val="20"/>
          <w:highlight w:val="none"/>
          <w:shd w:val="clear" w:color="auto" w:fill="auto"/>
          <w:lang w:val="en-US" w:eastAsia="zh-CN" w:bidi="ar"/>
        </w:rPr>
        <w:t>①</w:t>
      </w:r>
      <w:r>
        <w:rPr>
          <w:rFonts w:hint="eastAsia" w:ascii="仿宋" w:hAnsi="仿宋" w:eastAsia="仿宋" w:cs="仿宋"/>
          <w:b w:val="0"/>
          <w:color w:val="auto"/>
          <w:spacing w:val="-11"/>
          <w:kern w:val="2"/>
          <w:sz w:val="24"/>
          <w:szCs w:val="24"/>
          <w:highlight w:val="none"/>
          <w:shd w:val="clear" w:color="auto" w:fill="FFFFFF"/>
          <w:lang w:val="en-US" w:eastAsia="zh-CN" w:bidi="ar"/>
        </w:rPr>
        <w:t>有司法行政部门颁发的执业证并已办理有效的年审手续且最近一年考核结果为合格或合格以上；</w:t>
      </w:r>
    </w:p>
    <w:p w14:paraId="367E77A0">
      <w:pPr>
        <w:keepNext w:val="0"/>
        <w:keepLines w:val="0"/>
        <w:pageBreakBefore w:val="0"/>
        <w:widowControl/>
        <w:shd w:val="solid" w:color="FFFFFF" w:fill="auto"/>
        <w:kinsoku/>
        <w:wordWrap/>
        <w:overflowPunct/>
        <w:topLinePunct w:val="0"/>
        <w:autoSpaceDE/>
        <w:autoSpaceDN w:val="0"/>
        <w:bidi w:val="0"/>
        <w:adjustRightInd w:val="0"/>
        <w:snapToGrid/>
        <w:spacing w:before="0" w:beforeLines="0" w:afterLines="0" w:line="400" w:lineRule="exact"/>
        <w:ind w:left="0" w:leftChars="0" w:firstLine="352" w:firstLineChars="200"/>
        <w:jc w:val="left"/>
        <w:textAlignment w:val="auto"/>
        <w:outlineLvl w:val="9"/>
        <w:rPr>
          <w:rFonts w:hint="eastAsia" w:ascii="仿宋" w:hAnsi="仿宋" w:eastAsia="仿宋" w:cs="仿宋"/>
          <w:b w:val="0"/>
          <w:bCs w:val="0"/>
          <w:i w:val="0"/>
          <w:snapToGrid/>
          <w:color w:val="auto"/>
          <w:spacing w:val="-11"/>
          <w:sz w:val="24"/>
          <w:szCs w:val="24"/>
          <w:highlight w:val="none"/>
          <w:u w:val="none"/>
          <w:shd w:val="clear" w:color="auto" w:fill="FFFFFF"/>
          <w:lang w:eastAsia="zh-CN" w:bidi="ar"/>
        </w:rPr>
      </w:pPr>
      <w:r>
        <w:rPr>
          <w:rFonts w:hint="default" w:ascii="Calibri" w:hAnsi="Calibri" w:eastAsia="仿宋" w:cs="Calibri"/>
          <w:color w:val="auto"/>
          <w:spacing w:val="-12"/>
          <w:sz w:val="20"/>
          <w:szCs w:val="20"/>
          <w:highlight w:val="none"/>
          <w:shd w:val="clear" w:color="auto" w:fill="auto"/>
          <w:lang w:val="en-US" w:eastAsia="zh-CN" w:bidi="ar"/>
        </w:rPr>
        <w:t>②</w:t>
      </w:r>
      <w:r>
        <w:rPr>
          <w:rFonts w:hint="eastAsia" w:ascii="仿宋" w:hAnsi="仿宋" w:eastAsia="仿宋" w:cs="仿宋"/>
          <w:b w:val="0"/>
          <w:bCs w:val="0"/>
          <w:i w:val="0"/>
          <w:snapToGrid/>
          <w:color w:val="auto"/>
          <w:spacing w:val="-11"/>
          <w:sz w:val="24"/>
          <w:szCs w:val="24"/>
          <w:highlight w:val="none"/>
          <w:u w:val="none"/>
          <w:shd w:val="clear" w:color="auto" w:fill="FFFFFF"/>
          <w:lang w:bidi="ar"/>
        </w:rPr>
        <w:t>恪守职业道德和执业纪律，勤勉尽责，遵守</w:t>
      </w:r>
      <w:r>
        <w:rPr>
          <w:rFonts w:hint="eastAsia" w:ascii="仿宋" w:hAnsi="仿宋" w:eastAsia="仿宋" w:cs="仿宋"/>
          <w:b w:val="0"/>
          <w:bCs w:val="0"/>
          <w:i w:val="0"/>
          <w:snapToGrid/>
          <w:color w:val="auto"/>
          <w:spacing w:val="-11"/>
          <w:sz w:val="24"/>
          <w:szCs w:val="24"/>
          <w:highlight w:val="none"/>
          <w:u w:val="none"/>
          <w:shd w:val="clear" w:color="auto" w:fill="FFFFFF"/>
          <w:lang w:val="en-US" w:eastAsia="zh-CN" w:bidi="ar"/>
        </w:rPr>
        <w:t>本行</w:t>
      </w:r>
      <w:r>
        <w:rPr>
          <w:rFonts w:hint="eastAsia" w:ascii="仿宋" w:hAnsi="仿宋" w:eastAsia="仿宋" w:cs="仿宋"/>
          <w:b w:val="0"/>
          <w:bCs w:val="0"/>
          <w:i w:val="0"/>
          <w:snapToGrid/>
          <w:color w:val="auto"/>
          <w:spacing w:val="-11"/>
          <w:sz w:val="24"/>
          <w:szCs w:val="24"/>
          <w:highlight w:val="none"/>
          <w:u w:val="none"/>
          <w:shd w:val="clear" w:color="auto" w:fill="FFFFFF"/>
          <w:lang w:bidi="ar"/>
        </w:rPr>
        <w:t>的管理要求</w:t>
      </w:r>
      <w:r>
        <w:rPr>
          <w:rFonts w:hint="eastAsia" w:ascii="仿宋" w:hAnsi="仿宋" w:eastAsia="仿宋" w:cs="仿宋"/>
          <w:b w:val="0"/>
          <w:bCs w:val="0"/>
          <w:i w:val="0"/>
          <w:snapToGrid/>
          <w:color w:val="auto"/>
          <w:spacing w:val="-11"/>
          <w:sz w:val="24"/>
          <w:szCs w:val="24"/>
          <w:highlight w:val="none"/>
          <w:u w:val="none"/>
          <w:shd w:val="clear" w:color="auto" w:fill="FFFFFF"/>
          <w:lang w:eastAsia="zh-CN" w:bidi="ar"/>
        </w:rPr>
        <w:t>；</w:t>
      </w:r>
    </w:p>
    <w:p w14:paraId="753E40E4">
      <w:pPr>
        <w:shd w:val="solid" w:color="FFFFFF" w:fill="auto"/>
        <w:autoSpaceDN w:val="0"/>
        <w:adjustRightInd w:val="0"/>
        <w:snapToGrid/>
        <w:spacing w:beforeLines="0" w:afterLines="0" w:line="400" w:lineRule="exact"/>
        <w:ind w:firstLine="352" w:firstLineChars="200"/>
        <w:contextualSpacing/>
        <w:outlineLvl w:val="9"/>
        <w:rPr>
          <w:rFonts w:hint="eastAsia" w:ascii="仿宋" w:hAnsi="仿宋" w:eastAsia="仿宋" w:cs="仿宋"/>
          <w:spacing w:val="-12"/>
          <w:sz w:val="24"/>
          <w:szCs w:val="24"/>
          <w:highlight w:val="none"/>
          <w:lang w:val="en-US" w:eastAsia="zh-CN"/>
        </w:rPr>
      </w:pPr>
      <w:r>
        <w:rPr>
          <w:rFonts w:hint="default" w:ascii="Calibri" w:hAnsi="Calibri" w:eastAsia="仿宋" w:cs="Calibri"/>
          <w:color w:val="auto"/>
          <w:spacing w:val="-12"/>
          <w:sz w:val="20"/>
          <w:szCs w:val="20"/>
          <w:highlight w:val="none"/>
          <w:shd w:val="clear" w:color="auto" w:fill="auto"/>
          <w:lang w:val="en-US" w:eastAsia="zh-CN" w:bidi="ar"/>
        </w:rPr>
        <w:t>③</w:t>
      </w:r>
      <w:r>
        <w:rPr>
          <w:rFonts w:hint="eastAsia" w:ascii="仿宋" w:hAnsi="仿宋" w:eastAsia="仿宋" w:cs="仿宋"/>
          <w:b w:val="0"/>
          <w:bCs w:val="0"/>
          <w:i w:val="0"/>
          <w:snapToGrid/>
          <w:color w:val="auto"/>
          <w:spacing w:val="-11"/>
          <w:sz w:val="24"/>
          <w:szCs w:val="24"/>
          <w:highlight w:val="none"/>
          <w:u w:val="none"/>
          <w:shd w:val="clear" w:color="auto" w:fill="FFFFFF"/>
          <w:lang w:val="en-US" w:eastAsia="zh-CN" w:bidi="ar"/>
        </w:rPr>
        <w:t>其他</w:t>
      </w:r>
      <w:r>
        <w:rPr>
          <w:rFonts w:hint="eastAsia" w:ascii="仿宋" w:hAnsi="仿宋" w:eastAsia="仿宋" w:cs="仿宋"/>
          <w:b w:val="0"/>
          <w:bCs w:val="0"/>
          <w:i w:val="0"/>
          <w:snapToGrid/>
          <w:color w:val="auto"/>
          <w:spacing w:val="-11"/>
          <w:sz w:val="24"/>
          <w:szCs w:val="24"/>
          <w:highlight w:val="none"/>
          <w:u w:val="none"/>
          <w:shd w:val="clear" w:color="auto" w:fill="FFFFFF"/>
          <w:lang w:val="en-US" w:eastAsia="zh-CN"/>
        </w:rPr>
        <w:t>根据逾期资产清收需要提出的条件。</w:t>
      </w:r>
    </w:p>
    <w:p w14:paraId="0C739690">
      <w:pPr>
        <w:widowControl/>
        <w:numPr>
          <w:ilvl w:val="0"/>
          <w:numId w:val="4"/>
        </w:numPr>
        <w:shd w:val="clear" w:color="auto" w:fill="auto"/>
        <w:wordWrap/>
        <w:snapToGrid/>
        <w:spacing w:beforeLines="0" w:afterLines="0" w:line="240" w:lineRule="auto"/>
        <w:ind w:firstLine="432" w:firstLineChars="200"/>
        <w:jc w:val="both"/>
        <w:outlineLvl w:val="9"/>
        <w:rPr>
          <w:rFonts w:hint="default"/>
        </w:rPr>
      </w:pPr>
      <w:r>
        <w:rPr>
          <w:rFonts w:hint="eastAsia" w:ascii="仿宋" w:hAnsi="仿宋" w:eastAsia="仿宋" w:cs="仿宋"/>
          <w:color w:val="000000"/>
          <w:spacing w:val="-12"/>
          <w:kern w:val="2"/>
          <w:sz w:val="24"/>
          <w:szCs w:val="24"/>
          <w:highlight w:val="none"/>
          <w:lang w:val="en-US" w:eastAsia="zh-CN" w:bidi="ar"/>
        </w:rPr>
        <w:t>未尽事宜，则按照《</w:t>
      </w:r>
      <w:r>
        <w:rPr>
          <w:rFonts w:hint="eastAsia" w:ascii="仿宋" w:hAnsi="仿宋" w:eastAsia="仿宋" w:cs="仿宋"/>
          <w:color w:val="000000"/>
          <w:spacing w:val="-12"/>
          <w:sz w:val="24"/>
          <w:szCs w:val="24"/>
          <w:highlight w:val="none"/>
          <w:lang w:bidi="ar"/>
        </w:rPr>
        <w:t>广州银行信用卡中心诉讼外聘律所操作规范</w:t>
      </w:r>
      <w:r>
        <w:rPr>
          <w:rFonts w:hint="eastAsia" w:ascii="仿宋" w:hAnsi="仿宋" w:eastAsia="仿宋" w:cs="仿宋"/>
          <w:color w:val="000000"/>
          <w:spacing w:val="-12"/>
          <w:kern w:val="2"/>
          <w:sz w:val="24"/>
          <w:szCs w:val="24"/>
          <w:highlight w:val="none"/>
          <w:lang w:val="en-US" w:eastAsia="zh-CN" w:bidi="ar"/>
        </w:rPr>
        <w:t>》规定实施（详情参照附件二），</w:t>
      </w:r>
      <w:r>
        <w:rPr>
          <w:rFonts w:hint="eastAsia" w:ascii="仿宋" w:hAnsi="仿宋" w:eastAsia="仿宋" w:cs="仿宋"/>
          <w:b/>
          <w:bCs/>
          <w:color w:val="000000"/>
          <w:spacing w:val="-12"/>
          <w:kern w:val="2"/>
          <w:sz w:val="24"/>
          <w:szCs w:val="24"/>
          <w:highlight w:val="none"/>
          <w:lang w:val="en-US" w:eastAsia="zh-CN" w:bidi="ar"/>
        </w:rPr>
        <w:t>甲方有权对该操作规范进行定期或不定期的更新，</w:t>
      </w:r>
      <w:r>
        <w:rPr>
          <w:rFonts w:hint="eastAsia" w:ascii="仿宋" w:hAnsi="仿宋" w:eastAsia="仿宋"/>
          <w:b/>
          <w:bCs/>
          <w:color w:val="000000"/>
          <w:spacing w:val="-12"/>
          <w:sz w:val="24"/>
          <w:highlight w:val="none"/>
          <w:lang w:val="zh-CN"/>
        </w:rPr>
        <w:t>后续如有变更，以甲方平台或邮件通知的最新版本为准</w:t>
      </w:r>
      <w:r>
        <w:rPr>
          <w:rFonts w:hint="eastAsia" w:ascii="仿宋" w:hAnsi="仿宋" w:eastAsia="仿宋" w:cs="仿宋"/>
          <w:b/>
          <w:bCs/>
          <w:color w:val="000000"/>
          <w:spacing w:val="-12"/>
          <w:kern w:val="2"/>
          <w:sz w:val="24"/>
          <w:szCs w:val="24"/>
          <w:highlight w:val="none"/>
          <w:lang w:val="en-US" w:eastAsia="zh-CN" w:bidi="ar"/>
        </w:rPr>
        <w:t>。</w:t>
      </w:r>
    </w:p>
    <w:p w14:paraId="1C9CCCD2">
      <w:pPr>
        <w:shd w:val="clear" w:color="auto" w:fill="auto"/>
        <w:snapToGrid w:val="0"/>
        <w:spacing w:line="400" w:lineRule="exact"/>
        <w:ind w:firstLine="600"/>
        <w:contextualSpacing/>
        <w:jc w:val="center"/>
        <w:rPr>
          <w:rFonts w:hint="default" w:ascii="仿宋" w:hAnsi="仿宋" w:eastAsia="仿宋" w:cs="仿宋"/>
          <w:b/>
          <w:bCs/>
          <w:spacing w:val="-12"/>
          <w:sz w:val="24"/>
          <w:szCs w:val="24"/>
          <w:highlight w:val="none"/>
        </w:rPr>
      </w:pPr>
      <w:r>
        <w:rPr>
          <w:rFonts w:ascii="仿宋" w:hAnsi="仿宋" w:eastAsia="仿宋" w:cs="仿宋"/>
          <w:b/>
          <w:bCs/>
          <w:spacing w:val="-12"/>
          <w:sz w:val="24"/>
          <w:szCs w:val="24"/>
          <w:highlight w:val="none"/>
        </w:rPr>
        <w:t>七、</w:t>
      </w:r>
      <w:r>
        <w:rPr>
          <w:rFonts w:hint="eastAsia" w:ascii="仿宋" w:hAnsi="仿宋" w:eastAsia="仿宋" w:cs="仿宋"/>
          <w:b/>
          <w:bCs/>
          <w:spacing w:val="-12"/>
          <w:sz w:val="24"/>
          <w:szCs w:val="24"/>
          <w:highlight w:val="none"/>
          <w:lang w:eastAsia="zh-CN"/>
        </w:rPr>
        <w:t>基础费用及</w:t>
      </w:r>
      <w:r>
        <w:rPr>
          <w:rFonts w:ascii="仿宋" w:hAnsi="仿宋" w:eastAsia="仿宋" w:cs="仿宋"/>
          <w:b/>
          <w:bCs/>
          <w:spacing w:val="-12"/>
          <w:sz w:val="24"/>
          <w:szCs w:val="24"/>
          <w:highlight w:val="none"/>
        </w:rPr>
        <w:t>律师代理费的支付标准和支付方式</w:t>
      </w:r>
    </w:p>
    <w:p w14:paraId="6385C344">
      <w:pPr>
        <w:numPr>
          <w:ilvl w:val="0"/>
          <w:numId w:val="5"/>
        </w:numPr>
        <w:shd w:val="clear" w:color="auto" w:fill="auto"/>
        <w:snapToGrid w:val="0"/>
        <w:spacing w:line="400" w:lineRule="exact"/>
        <w:contextualSpacing/>
        <w:rPr>
          <w:rFonts w:hint="default" w:ascii="仿宋" w:hAnsi="仿宋" w:eastAsia="仿宋" w:cs="仿宋"/>
          <w:spacing w:val="-12"/>
          <w:sz w:val="24"/>
          <w:szCs w:val="24"/>
          <w:highlight w:val="none"/>
        </w:rPr>
      </w:pPr>
      <w:r>
        <w:rPr>
          <w:rFonts w:ascii="仿宋" w:hAnsi="仿宋" w:eastAsia="仿宋" w:cs="仿宋"/>
          <w:spacing w:val="-12"/>
          <w:sz w:val="24"/>
          <w:szCs w:val="24"/>
          <w:highlight w:val="none"/>
        </w:rPr>
        <w:t>支付标准</w:t>
      </w:r>
    </w:p>
    <w:p w14:paraId="29D13392">
      <w:pPr>
        <w:pStyle w:val="4"/>
        <w:keepNext w:val="0"/>
        <w:keepLines w:val="0"/>
        <w:widowControl w:val="0"/>
        <w:numPr>
          <w:ilvl w:val="0"/>
          <w:numId w:val="6"/>
        </w:numPr>
        <w:suppressLineNumbers w:val="0"/>
        <w:shd w:val="clear" w:color="auto" w:fill="auto"/>
        <w:autoSpaceDE w:val="0"/>
        <w:autoSpaceDN/>
        <w:spacing w:before="0" w:beforeLines="0" w:beforeAutospacing="0" w:after="0" w:afterLines="0" w:afterAutospacing="0" w:line="620" w:lineRule="exact"/>
        <w:ind w:left="0" w:leftChars="0" w:right="0" w:rightChars="0" w:firstLine="436" w:firstLineChars="200"/>
        <w:rPr>
          <w:rFonts w:hint="eastAsia" w:ascii="仿宋" w:hAnsi="仿宋" w:eastAsia="仿宋" w:cs="仿宋"/>
          <w:spacing w:val="-11"/>
          <w:kern w:val="2"/>
          <w:sz w:val="24"/>
          <w:szCs w:val="24"/>
          <w:lang w:val="en-US" w:eastAsia="zh-CN"/>
        </w:rPr>
      </w:pPr>
      <w:r>
        <w:rPr>
          <w:rFonts w:hint="eastAsia" w:ascii="仿宋" w:hAnsi="仿宋" w:eastAsia="仿宋" w:cs="仿宋"/>
          <w:spacing w:val="-11"/>
          <w:kern w:val="2"/>
          <w:sz w:val="24"/>
          <w:szCs w:val="24"/>
          <w:lang w:val="en-US" w:eastAsia="zh-CN"/>
        </w:rPr>
        <w:t>基础费用及律师代理费</w:t>
      </w:r>
    </w:p>
    <w:p w14:paraId="5D1A2618">
      <w:pPr>
        <w:keepNext w:val="0"/>
        <w:keepLines w:val="0"/>
        <w:widowControl/>
        <w:suppressLineNumbers w:val="0"/>
        <w:shd w:val="clear" w:color="auto" w:fill="auto"/>
        <w:autoSpaceDE w:val="0"/>
        <w:autoSpaceDN/>
        <w:adjustRightInd w:val="0"/>
        <w:snapToGrid w:val="0"/>
        <w:spacing w:before="0" w:beforeLines="0" w:beforeAutospacing="0" w:after="0" w:afterLines="0" w:afterAutospacing="0" w:line="400" w:lineRule="exact"/>
        <w:ind w:left="0" w:leftChars="0" w:right="0" w:rightChars="0" w:firstLine="436" w:firstLineChars="200"/>
        <w:rPr>
          <w:rFonts w:hint="eastAsia" w:ascii="仿宋" w:hAnsi="仿宋" w:eastAsia="仿宋" w:cs="仿宋"/>
          <w:spacing w:val="0"/>
          <w:kern w:val="2"/>
          <w:sz w:val="24"/>
          <w:szCs w:val="24"/>
        </w:rPr>
      </w:pPr>
      <w:r>
        <w:rPr>
          <w:rFonts w:hint="eastAsia" w:ascii="仿宋" w:hAnsi="仿宋" w:eastAsia="仿宋" w:cs="仿宋"/>
          <w:spacing w:val="-11"/>
          <w:kern w:val="2"/>
          <w:sz w:val="24"/>
          <w:szCs w:val="24"/>
          <w:lang w:eastAsia="zh-CN"/>
        </w:rPr>
        <w:t>律师</w:t>
      </w:r>
      <w:r>
        <w:rPr>
          <w:rFonts w:ascii="仿宋" w:hAnsi="仿宋" w:eastAsia="仿宋" w:cs="仿宋"/>
          <w:bCs/>
          <w:spacing w:val="-12"/>
          <w:kern w:val="0"/>
          <w:sz w:val="24"/>
          <w:szCs w:val="24"/>
          <w:highlight w:val="none"/>
        </w:rPr>
        <w:t>代理费参照各派案逾期阶段的案件“回款金额”实行分级费率，其中“回款金额”按照乙方为甲方回收的实际欠款金额﹝含债务本金、滞纳金/违约金、利息、年费等相关费用，不含积分返现、自动划扣等非律所诉讼催收的回款﹞进行计算；回款金额结算周期从派案数据载明的派案日期当日开始计算，至个案完结日的前一天止，即回款金额结算周期内的回款计算诉讼代理费，个案完结当天及个案完结后的回款不结算诉讼代理费。各阶段案件按照以下标准结算律所代理费用。</w:t>
      </w:r>
      <w:r>
        <w:rPr>
          <w:rFonts w:hint="eastAsia" w:ascii="仿宋" w:hAnsi="仿宋" w:eastAsia="仿宋" w:cs="仿宋"/>
          <w:spacing w:val="-11"/>
          <w:kern w:val="2"/>
          <w:sz w:val="24"/>
          <w:szCs w:val="24"/>
        </w:rPr>
        <w:t>同时，因诉讼产生的相关司法专递费用由</w:t>
      </w:r>
      <w:r>
        <w:rPr>
          <w:rFonts w:hint="eastAsia" w:ascii="仿宋" w:hAnsi="仿宋" w:eastAsia="仿宋" w:cs="仿宋"/>
          <w:spacing w:val="-11"/>
          <w:kern w:val="2"/>
          <w:sz w:val="24"/>
          <w:szCs w:val="24"/>
          <w:lang w:eastAsia="zh-CN"/>
        </w:rPr>
        <w:t>乙方自行</w:t>
      </w:r>
      <w:r>
        <w:rPr>
          <w:rFonts w:hint="eastAsia" w:ascii="仿宋" w:hAnsi="仿宋" w:eastAsia="仿宋" w:cs="仿宋"/>
          <w:spacing w:val="-11"/>
          <w:kern w:val="2"/>
          <w:sz w:val="24"/>
          <w:szCs w:val="24"/>
        </w:rPr>
        <w:t>承担。</w:t>
      </w:r>
    </w:p>
    <w:tbl>
      <w:tblPr>
        <w:tblStyle w:val="7"/>
        <w:tblW w:w="84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75"/>
        <w:gridCol w:w="2687"/>
        <w:gridCol w:w="2034"/>
        <w:gridCol w:w="2781"/>
      </w:tblGrid>
      <w:tr w14:paraId="3357A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3" w:hRule="atLeast"/>
        </w:trPr>
        <w:tc>
          <w:tcPr>
            <w:tcW w:w="975" w:type="dxa"/>
            <w:tcBorders>
              <w:top w:val="single" w:color="000000" w:sz="4" w:space="0"/>
              <w:left w:val="single" w:color="000000" w:sz="4" w:space="0"/>
              <w:bottom w:val="single" w:color="auto" w:sz="4" w:space="0"/>
              <w:right w:val="single" w:color="000000" w:sz="4" w:space="0"/>
            </w:tcBorders>
            <w:shd w:val="clear" w:color="auto" w:fill="D9D9D9"/>
            <w:noWrap w:val="0"/>
            <w:vAlign w:val="center"/>
          </w:tcPr>
          <w:p w14:paraId="2DE0231B">
            <w:pPr>
              <w:keepNext w:val="0"/>
              <w:keepLines w:val="0"/>
              <w:widowControl/>
              <w:suppressLineNumbers w:val="0"/>
              <w:shd w:val="clear" w:color="auto" w:fill="auto"/>
              <w:autoSpaceDE w:val="0"/>
              <w:autoSpaceDN/>
              <w:spacing w:before="0" w:beforeLines="0" w:beforeAutospacing="0" w:after="0" w:afterLines="0" w:afterAutospacing="0" w:line="580" w:lineRule="exact"/>
              <w:ind w:left="0" w:leftChars="0" w:right="0" w:rightChars="0"/>
              <w:jc w:val="center"/>
              <w:textAlignment w:val="center"/>
              <w:rPr>
                <w:rFonts w:hint="default" w:ascii="仿宋_GB2312" w:eastAsia="仿宋_GB2312" w:cs="仿宋_GB2312"/>
                <w:b/>
                <w:bCs w:val="0"/>
                <w:i w:val="0"/>
                <w:spacing w:val="0"/>
                <w:kern w:val="2"/>
                <w:sz w:val="21"/>
                <w:szCs w:val="21"/>
              </w:rPr>
            </w:pPr>
            <w:r>
              <w:rPr>
                <w:rFonts w:hint="default" w:ascii="仿宋_GB2312" w:hAnsi="Calibri" w:eastAsia="仿宋_GB2312" w:cs="仿宋_GB2312"/>
                <w:b/>
                <w:bCs w:val="0"/>
                <w:i w:val="0"/>
                <w:spacing w:val="0"/>
                <w:kern w:val="0"/>
                <w:sz w:val="21"/>
                <w:szCs w:val="21"/>
                <w:lang w:val="en-US" w:eastAsia="zh-CN" w:bidi="ar"/>
              </w:rPr>
              <w:t>结算模式</w:t>
            </w:r>
          </w:p>
        </w:tc>
        <w:tc>
          <w:tcPr>
            <w:tcW w:w="2687" w:type="dxa"/>
            <w:tcBorders>
              <w:top w:val="single" w:color="000000" w:sz="4" w:space="0"/>
              <w:left w:val="nil"/>
              <w:bottom w:val="single" w:color="auto" w:sz="4" w:space="0"/>
              <w:right w:val="single" w:color="000000" w:sz="4" w:space="0"/>
            </w:tcBorders>
            <w:shd w:val="clear" w:color="auto" w:fill="D9D9D9"/>
            <w:noWrap w:val="0"/>
            <w:vAlign w:val="center"/>
          </w:tcPr>
          <w:p w14:paraId="24CFF194">
            <w:pPr>
              <w:keepNext w:val="0"/>
              <w:keepLines w:val="0"/>
              <w:widowControl/>
              <w:suppressLineNumbers w:val="0"/>
              <w:shd w:val="clear" w:color="auto" w:fill="auto"/>
              <w:autoSpaceDE w:val="0"/>
              <w:autoSpaceDN/>
              <w:spacing w:before="0" w:beforeLines="0" w:beforeAutospacing="0" w:after="0" w:afterLines="0" w:afterAutospacing="0" w:line="580" w:lineRule="exact"/>
              <w:ind w:left="0" w:leftChars="0" w:right="0" w:rightChars="0"/>
              <w:jc w:val="center"/>
              <w:textAlignment w:val="center"/>
              <w:rPr>
                <w:rFonts w:hint="default" w:ascii="仿宋_GB2312" w:eastAsia="仿宋_GB2312" w:cs="仿宋_GB2312"/>
                <w:b/>
                <w:bCs w:val="0"/>
                <w:i w:val="0"/>
                <w:spacing w:val="0"/>
                <w:kern w:val="2"/>
                <w:sz w:val="21"/>
                <w:szCs w:val="21"/>
              </w:rPr>
            </w:pPr>
            <w:r>
              <w:rPr>
                <w:rFonts w:hint="default" w:ascii="仿宋_GB2312" w:hAnsi="Calibri" w:eastAsia="仿宋_GB2312" w:cs="仿宋_GB2312"/>
                <w:b/>
                <w:bCs w:val="0"/>
                <w:i w:val="0"/>
                <w:spacing w:val="0"/>
                <w:kern w:val="0"/>
                <w:sz w:val="21"/>
                <w:szCs w:val="21"/>
                <w:lang w:val="en-US" w:eastAsia="zh-CN" w:bidi="ar"/>
              </w:rPr>
              <w:t>结算依据</w:t>
            </w:r>
          </w:p>
        </w:tc>
        <w:tc>
          <w:tcPr>
            <w:tcW w:w="2034" w:type="dxa"/>
            <w:tcBorders>
              <w:top w:val="single" w:color="000000" w:sz="4" w:space="0"/>
              <w:left w:val="nil"/>
              <w:bottom w:val="single" w:color="auto" w:sz="4" w:space="0"/>
              <w:right w:val="single" w:color="000000" w:sz="4" w:space="0"/>
            </w:tcBorders>
            <w:shd w:val="clear" w:color="auto" w:fill="D9D9D9"/>
            <w:noWrap w:val="0"/>
            <w:vAlign w:val="center"/>
          </w:tcPr>
          <w:p w14:paraId="74963B6C">
            <w:pPr>
              <w:keepNext w:val="0"/>
              <w:keepLines w:val="0"/>
              <w:widowControl/>
              <w:suppressLineNumbers w:val="0"/>
              <w:shd w:val="clear" w:color="auto" w:fill="auto"/>
              <w:autoSpaceDE w:val="0"/>
              <w:autoSpaceDN/>
              <w:spacing w:before="0" w:beforeLines="0" w:beforeAutospacing="0" w:after="0" w:afterLines="0" w:afterAutospacing="0" w:line="580" w:lineRule="exact"/>
              <w:ind w:left="0" w:leftChars="0" w:right="0" w:rightChars="0"/>
              <w:jc w:val="center"/>
              <w:textAlignment w:val="center"/>
              <w:rPr>
                <w:rFonts w:hint="default" w:ascii="仿宋_GB2312" w:eastAsia="仿宋_GB2312" w:cs="仿宋_GB2312"/>
                <w:b/>
                <w:bCs w:val="0"/>
                <w:i w:val="0"/>
                <w:spacing w:val="0"/>
                <w:kern w:val="2"/>
                <w:sz w:val="21"/>
                <w:szCs w:val="21"/>
              </w:rPr>
            </w:pPr>
            <w:r>
              <w:rPr>
                <w:rFonts w:hint="default" w:ascii="仿宋_GB2312" w:hAnsi="Calibri" w:eastAsia="仿宋_GB2312" w:cs="仿宋_GB2312"/>
                <w:b/>
                <w:bCs w:val="0"/>
                <w:i w:val="0"/>
                <w:spacing w:val="0"/>
                <w:kern w:val="0"/>
                <w:sz w:val="21"/>
                <w:szCs w:val="21"/>
                <w:lang w:val="en-US" w:eastAsia="zh-CN" w:bidi="ar"/>
              </w:rPr>
              <w:t>结算费用/费率</w:t>
            </w:r>
          </w:p>
        </w:tc>
        <w:tc>
          <w:tcPr>
            <w:tcW w:w="2781" w:type="dxa"/>
            <w:tcBorders>
              <w:top w:val="single" w:color="000000" w:sz="4" w:space="0"/>
              <w:left w:val="nil"/>
              <w:bottom w:val="single" w:color="auto" w:sz="4" w:space="0"/>
              <w:right w:val="single" w:color="000000" w:sz="4" w:space="0"/>
            </w:tcBorders>
            <w:shd w:val="clear" w:color="auto" w:fill="D9D9D9"/>
            <w:noWrap w:val="0"/>
            <w:vAlign w:val="center"/>
          </w:tcPr>
          <w:p w14:paraId="147D8849">
            <w:pPr>
              <w:keepNext w:val="0"/>
              <w:keepLines w:val="0"/>
              <w:widowControl/>
              <w:suppressLineNumbers w:val="0"/>
              <w:shd w:val="clear" w:color="auto" w:fill="auto"/>
              <w:autoSpaceDE w:val="0"/>
              <w:autoSpaceDN/>
              <w:spacing w:before="0" w:beforeLines="0" w:beforeAutospacing="0" w:after="0" w:afterLines="0" w:afterAutospacing="0" w:line="580" w:lineRule="exact"/>
              <w:ind w:left="0" w:leftChars="0" w:right="0" w:rightChars="0"/>
              <w:jc w:val="center"/>
              <w:textAlignment w:val="center"/>
              <w:rPr>
                <w:rFonts w:hint="default" w:ascii="仿宋_GB2312" w:eastAsia="仿宋_GB2312" w:cs="仿宋_GB2312"/>
                <w:b/>
                <w:bCs w:val="0"/>
                <w:i w:val="0"/>
                <w:spacing w:val="0"/>
                <w:kern w:val="2"/>
                <w:sz w:val="21"/>
                <w:szCs w:val="21"/>
              </w:rPr>
            </w:pPr>
            <w:r>
              <w:rPr>
                <w:rFonts w:hint="default" w:ascii="仿宋_GB2312" w:hAnsi="Calibri" w:eastAsia="仿宋_GB2312" w:cs="仿宋_GB2312"/>
                <w:b/>
                <w:bCs w:val="0"/>
                <w:i w:val="0"/>
                <w:spacing w:val="0"/>
                <w:kern w:val="0"/>
                <w:sz w:val="21"/>
                <w:szCs w:val="21"/>
                <w:lang w:val="en-US" w:eastAsia="zh-CN" w:bidi="ar"/>
              </w:rPr>
              <w:t>备注</w:t>
            </w:r>
          </w:p>
        </w:tc>
      </w:tr>
      <w:tr w14:paraId="42DC5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75" w:type="dxa"/>
            <w:tcBorders>
              <w:top w:val="single" w:color="auto" w:sz="4" w:space="0"/>
              <w:left w:val="single" w:color="auto" w:sz="4" w:space="0"/>
              <w:bottom w:val="single" w:color="auto" w:sz="4" w:space="0"/>
              <w:right w:val="single" w:color="auto" w:sz="4" w:space="0"/>
            </w:tcBorders>
            <w:noWrap w:val="0"/>
            <w:vAlign w:val="center"/>
          </w:tcPr>
          <w:p w14:paraId="3C65A04D">
            <w:pPr>
              <w:keepNext w:val="0"/>
              <w:keepLines w:val="0"/>
              <w:suppressLineNumbers w:val="0"/>
              <w:shd w:val="clear" w:color="auto" w:fill="auto"/>
              <w:spacing w:before="0" w:beforeAutospacing="0" w:after="0" w:afterAutospacing="0"/>
              <w:ind w:left="0" w:right="0"/>
              <w:rPr>
                <w:rFonts w:hint="default" w:ascii="Times New Roman" w:hAnsi="Times New Roman" w:cs="Times New Roman"/>
                <w:sz w:val="20"/>
                <w:szCs w:val="20"/>
              </w:rPr>
            </w:pPr>
          </w:p>
        </w:tc>
        <w:tc>
          <w:tcPr>
            <w:tcW w:w="2687" w:type="dxa"/>
            <w:tcBorders>
              <w:top w:val="single" w:color="auto" w:sz="4" w:space="0"/>
              <w:left w:val="single" w:color="auto" w:sz="4" w:space="0"/>
              <w:bottom w:val="single" w:color="auto" w:sz="4" w:space="0"/>
              <w:right w:val="single" w:color="auto" w:sz="4" w:space="0"/>
            </w:tcBorders>
            <w:noWrap w:val="0"/>
            <w:vAlign w:val="center"/>
          </w:tcPr>
          <w:p w14:paraId="651C0777">
            <w:pPr>
              <w:keepNext w:val="0"/>
              <w:keepLines w:val="0"/>
              <w:widowControl/>
              <w:suppressLineNumbers w:val="0"/>
              <w:shd w:val="clear" w:color="auto" w:fill="auto"/>
              <w:autoSpaceDE w:val="0"/>
              <w:autoSpaceDN/>
              <w:spacing w:before="0" w:beforeLines="0" w:beforeAutospacing="0" w:after="0" w:afterLines="0" w:afterAutospacing="0" w:line="580" w:lineRule="exact"/>
              <w:ind w:left="0" w:leftChars="0" w:right="0" w:rightChars="0"/>
              <w:jc w:val="center"/>
              <w:textAlignment w:val="center"/>
              <w:rPr>
                <w:rFonts w:hint="default" w:ascii="仿宋_GB2312" w:eastAsia="仿宋_GB2312" w:cs="仿宋_GB2312"/>
                <w:i w:val="0"/>
                <w:spacing w:val="0"/>
                <w:kern w:val="2"/>
                <w:sz w:val="21"/>
                <w:szCs w:val="21"/>
              </w:rPr>
            </w:pPr>
          </w:p>
        </w:tc>
        <w:tc>
          <w:tcPr>
            <w:tcW w:w="2034" w:type="dxa"/>
            <w:tcBorders>
              <w:top w:val="single" w:color="auto" w:sz="4" w:space="0"/>
              <w:left w:val="single" w:color="auto" w:sz="4" w:space="0"/>
              <w:bottom w:val="single" w:color="auto" w:sz="4" w:space="0"/>
              <w:right w:val="single" w:color="auto" w:sz="4" w:space="0"/>
            </w:tcBorders>
            <w:noWrap w:val="0"/>
            <w:vAlign w:val="center"/>
          </w:tcPr>
          <w:p w14:paraId="14FCEA86">
            <w:pPr>
              <w:keepNext w:val="0"/>
              <w:keepLines w:val="0"/>
              <w:widowControl/>
              <w:suppressLineNumbers w:val="0"/>
              <w:shd w:val="clear" w:color="auto" w:fill="auto"/>
              <w:autoSpaceDE w:val="0"/>
              <w:autoSpaceDN/>
              <w:spacing w:before="0" w:beforeLines="0" w:beforeAutospacing="0" w:after="0" w:afterLines="0" w:afterAutospacing="0" w:line="580" w:lineRule="exact"/>
              <w:ind w:left="0" w:leftChars="0" w:right="0" w:rightChars="0"/>
              <w:jc w:val="center"/>
              <w:textAlignment w:val="center"/>
              <w:rPr>
                <w:rFonts w:hint="default" w:ascii="仿宋_GB2312" w:eastAsia="仿宋_GB2312" w:cs="仿宋_GB2312"/>
                <w:i w:val="0"/>
                <w:spacing w:val="0"/>
                <w:kern w:val="2"/>
                <w:sz w:val="21"/>
                <w:szCs w:val="21"/>
              </w:rPr>
            </w:pPr>
          </w:p>
        </w:tc>
        <w:tc>
          <w:tcPr>
            <w:tcW w:w="2781" w:type="dxa"/>
            <w:tcBorders>
              <w:top w:val="single" w:color="auto" w:sz="4" w:space="0"/>
              <w:left w:val="single" w:color="auto" w:sz="4" w:space="0"/>
              <w:bottom w:val="single" w:color="auto" w:sz="4" w:space="0"/>
              <w:right w:val="single" w:color="auto" w:sz="4" w:space="0"/>
            </w:tcBorders>
            <w:noWrap w:val="0"/>
            <w:vAlign w:val="center"/>
          </w:tcPr>
          <w:p w14:paraId="5240851D">
            <w:pPr>
              <w:keepNext w:val="0"/>
              <w:keepLines w:val="0"/>
              <w:suppressLineNumbers w:val="0"/>
              <w:shd w:val="clear" w:color="auto" w:fill="auto"/>
              <w:spacing w:before="0" w:beforeAutospacing="0" w:after="0" w:afterAutospacing="0"/>
              <w:ind w:left="0" w:right="0"/>
              <w:rPr>
                <w:rFonts w:hint="default" w:ascii="Times New Roman" w:hAnsi="Times New Roman" w:cs="Times New Roman"/>
                <w:sz w:val="20"/>
                <w:szCs w:val="20"/>
              </w:rPr>
            </w:pPr>
          </w:p>
        </w:tc>
      </w:tr>
    </w:tbl>
    <w:p w14:paraId="5082B565">
      <w:pPr>
        <w:shd w:val="clear" w:color="auto" w:fill="auto"/>
        <w:adjustRightInd w:val="0"/>
        <w:snapToGrid w:val="0"/>
        <w:spacing w:line="400" w:lineRule="exact"/>
        <w:ind w:firstLine="0" w:firstLineChars="0"/>
        <w:rPr>
          <w:rFonts w:hint="default" w:ascii="仿宋" w:hAnsi="仿宋" w:eastAsia="仿宋" w:cs="仿宋"/>
          <w:bCs/>
          <w:spacing w:val="-12"/>
          <w:kern w:val="0"/>
          <w:sz w:val="24"/>
          <w:szCs w:val="24"/>
          <w:highlight w:val="none"/>
        </w:rPr>
      </w:pPr>
      <w:r>
        <w:rPr>
          <w:rFonts w:hint="eastAsia"/>
          <w:lang w:val="en-US" w:eastAsia="zh-CN"/>
        </w:rPr>
        <w:t xml:space="preserve"> </w:t>
      </w:r>
      <w:r>
        <w:rPr>
          <w:rFonts w:hint="eastAsia" w:ascii="仿宋" w:hAnsi="仿宋" w:eastAsia="仿宋" w:cs="仿宋"/>
          <w:spacing w:val="-12"/>
          <w:sz w:val="24"/>
          <w:szCs w:val="24"/>
          <w:highlight w:val="none"/>
          <w:lang w:val="en-US" w:eastAsia="zh-CN"/>
        </w:rPr>
        <w:t xml:space="preserve">    </w:t>
      </w:r>
      <w:r>
        <w:rPr>
          <w:rFonts w:hint="eastAsia" w:ascii="仿宋" w:hAnsi="仿宋" w:eastAsia="仿宋" w:cs="仿宋"/>
          <w:bCs/>
          <w:spacing w:val="-12"/>
          <w:kern w:val="0"/>
          <w:sz w:val="24"/>
          <w:szCs w:val="24"/>
          <w:highlight w:val="none"/>
        </w:rPr>
        <w:t>以上价格均为含税价格，</w:t>
      </w:r>
      <w:r>
        <w:rPr>
          <w:rFonts w:hint="eastAsia" w:ascii="仿宋" w:hAnsi="仿宋" w:eastAsia="仿宋" w:cs="仿宋"/>
          <w:bCs/>
          <w:spacing w:val="-12"/>
          <w:kern w:val="0"/>
          <w:sz w:val="24"/>
          <w:szCs w:val="24"/>
          <w:highlight w:val="none"/>
          <w:lang w:val="zh-CN"/>
        </w:rPr>
        <w:t>其中，不含税价款为本合同费用标准各单价</w:t>
      </w:r>
      <w:r>
        <w:rPr>
          <w:rFonts w:hint="eastAsia" w:ascii="仿宋" w:hAnsi="仿宋" w:eastAsia="仿宋" w:cs="仿宋"/>
          <w:bCs/>
          <w:spacing w:val="-12"/>
          <w:kern w:val="0"/>
          <w:sz w:val="24"/>
          <w:szCs w:val="24"/>
          <w:highlight w:val="none"/>
        </w:rPr>
        <w:t>/</w:t>
      </w:r>
      <w:r>
        <w:rPr>
          <w:rFonts w:hint="eastAsia" w:ascii="仿宋" w:hAnsi="仿宋" w:eastAsia="仿宋" w:cs="仿宋"/>
          <w:bCs/>
          <w:spacing w:val="-12"/>
          <w:kern w:val="0"/>
          <w:sz w:val="24"/>
          <w:szCs w:val="24"/>
          <w:highlight w:val="none"/>
          <w:lang w:val="zh-CN"/>
        </w:rPr>
        <w:t>（</w:t>
      </w:r>
      <w:r>
        <w:rPr>
          <w:rFonts w:hint="eastAsia" w:ascii="仿宋" w:hAnsi="仿宋" w:eastAsia="仿宋" w:cs="仿宋"/>
          <w:bCs/>
          <w:spacing w:val="-12"/>
          <w:kern w:val="0"/>
          <w:sz w:val="24"/>
          <w:szCs w:val="24"/>
          <w:highlight w:val="none"/>
        </w:rPr>
        <w:t>1+</w:t>
      </w:r>
      <w:r>
        <w:rPr>
          <w:rFonts w:hint="eastAsia" w:ascii="仿宋" w:hAnsi="仿宋" w:eastAsia="仿宋" w:cs="仿宋"/>
          <w:bCs/>
          <w:spacing w:val="-12"/>
          <w:kern w:val="0"/>
          <w:sz w:val="24"/>
          <w:szCs w:val="24"/>
          <w:highlight w:val="none"/>
          <w:lang w:val="zh-CN"/>
        </w:rPr>
        <w:t>税率），税率为6%，税额为费用标准各单价</w:t>
      </w:r>
      <w:r>
        <w:rPr>
          <w:rFonts w:hint="eastAsia" w:ascii="仿宋" w:hAnsi="仿宋" w:eastAsia="仿宋" w:cs="仿宋"/>
          <w:bCs/>
          <w:spacing w:val="-12"/>
          <w:kern w:val="0"/>
          <w:sz w:val="24"/>
          <w:szCs w:val="24"/>
          <w:highlight w:val="none"/>
        </w:rPr>
        <w:t>*</w:t>
      </w:r>
      <w:r>
        <w:rPr>
          <w:rFonts w:hint="eastAsia" w:ascii="仿宋" w:hAnsi="仿宋" w:eastAsia="仿宋" w:cs="仿宋"/>
          <w:bCs/>
          <w:spacing w:val="-12"/>
          <w:kern w:val="0"/>
          <w:sz w:val="24"/>
          <w:szCs w:val="24"/>
          <w:highlight w:val="none"/>
          <w:lang w:val="zh-CN"/>
        </w:rPr>
        <w:t>税率</w:t>
      </w:r>
      <w:r>
        <w:rPr>
          <w:rFonts w:hint="eastAsia" w:ascii="仿宋" w:hAnsi="仿宋" w:eastAsia="仿宋" w:cs="仿宋"/>
          <w:bCs/>
          <w:spacing w:val="-12"/>
          <w:kern w:val="0"/>
          <w:sz w:val="24"/>
          <w:szCs w:val="24"/>
          <w:highlight w:val="none"/>
        </w:rPr>
        <w:t>/</w:t>
      </w:r>
      <w:r>
        <w:rPr>
          <w:rFonts w:hint="eastAsia" w:ascii="仿宋" w:hAnsi="仿宋" w:eastAsia="仿宋" w:cs="仿宋"/>
          <w:bCs/>
          <w:spacing w:val="-12"/>
          <w:kern w:val="0"/>
          <w:sz w:val="24"/>
          <w:szCs w:val="24"/>
          <w:highlight w:val="none"/>
          <w:lang w:val="zh-CN"/>
        </w:rPr>
        <w:t>（</w:t>
      </w:r>
      <w:r>
        <w:rPr>
          <w:rFonts w:hint="eastAsia" w:ascii="仿宋" w:hAnsi="仿宋" w:eastAsia="仿宋" w:cs="仿宋"/>
          <w:bCs/>
          <w:spacing w:val="-12"/>
          <w:kern w:val="0"/>
          <w:sz w:val="24"/>
          <w:szCs w:val="24"/>
          <w:highlight w:val="none"/>
        </w:rPr>
        <w:t>1+</w:t>
      </w:r>
      <w:r>
        <w:rPr>
          <w:rFonts w:hint="eastAsia" w:ascii="仿宋" w:hAnsi="仿宋" w:eastAsia="仿宋" w:cs="仿宋"/>
          <w:bCs/>
          <w:spacing w:val="-12"/>
          <w:kern w:val="0"/>
          <w:sz w:val="24"/>
          <w:szCs w:val="24"/>
          <w:highlight w:val="none"/>
          <w:lang w:val="zh-CN"/>
        </w:rPr>
        <w:t>税率）</w:t>
      </w:r>
      <w:r>
        <w:rPr>
          <w:rFonts w:ascii="仿宋" w:hAnsi="仿宋" w:eastAsia="仿宋" w:cs="仿宋"/>
          <w:bCs/>
          <w:spacing w:val="-12"/>
          <w:kern w:val="0"/>
          <w:sz w:val="24"/>
          <w:szCs w:val="24"/>
          <w:highlight w:val="none"/>
        </w:rPr>
        <w:t>。在合同履行过程中，如遇国家税率政策变更，对于合同已履行完毕的部分，按合同约定的原税率开具增值税专用发票；对于合同未履行完毕的部分，在原标的不含税（单）价不变的基础上，按照新税率重新计算标的含税（单）价/合同总价，并且继续履行，后续不再另行签订补充协议。</w:t>
      </w:r>
    </w:p>
    <w:p w14:paraId="051AE05A">
      <w:pPr>
        <w:shd w:val="clear" w:color="auto" w:fill="auto"/>
        <w:adjustRightInd w:val="0"/>
        <w:snapToGrid w:val="0"/>
        <w:spacing w:line="400" w:lineRule="exact"/>
        <w:ind w:firstLine="432" w:firstLineChars="200"/>
        <w:rPr>
          <w:rFonts w:hint="default" w:ascii="仿宋" w:hAnsi="仿宋" w:eastAsia="仿宋" w:cs="仿宋"/>
          <w:spacing w:val="-12"/>
          <w:sz w:val="24"/>
          <w:szCs w:val="24"/>
          <w:highlight w:val="none"/>
        </w:rPr>
      </w:pPr>
      <w:r>
        <w:rPr>
          <w:rFonts w:ascii="仿宋" w:hAnsi="仿宋" w:eastAsia="仿宋" w:cs="仿宋"/>
          <w:bCs/>
          <w:spacing w:val="-12"/>
          <w:kern w:val="0"/>
          <w:sz w:val="24"/>
          <w:szCs w:val="24"/>
          <w:highlight w:val="none"/>
        </w:rPr>
        <w:t>本合同所有应付费用甲方在收到乙方开具的合法有效发票并确认无误后20个工作日内支付，由于乙方发票等原因导致的延迟支付甲方不承担任何责任。</w:t>
      </w:r>
    </w:p>
    <w:p w14:paraId="4776ABD9">
      <w:pPr>
        <w:pStyle w:val="11"/>
        <w:numPr>
          <w:ilvl w:val="0"/>
          <w:numId w:val="0"/>
        </w:numPr>
        <w:shd w:val="clear" w:color="auto" w:fill="auto"/>
        <w:snapToGrid w:val="0"/>
        <w:spacing w:line="400" w:lineRule="exact"/>
        <w:ind w:firstLine="434" w:firstLineChars="200"/>
        <w:contextualSpacing/>
        <w:rPr>
          <w:rFonts w:hint="eastAsia" w:ascii="仿宋" w:hAnsi="仿宋" w:eastAsia="仿宋" w:cs="仿宋"/>
          <w:spacing w:val="-12"/>
          <w:kern w:val="2"/>
          <w:sz w:val="24"/>
          <w:szCs w:val="24"/>
          <w:highlight w:val="none"/>
        </w:rPr>
      </w:pPr>
      <w:r>
        <w:rPr>
          <w:rFonts w:hint="eastAsia" w:ascii="仿宋" w:hAnsi="仿宋" w:eastAsia="仿宋" w:cs="仿宋"/>
          <w:b/>
          <w:bCs/>
          <w:spacing w:val="-12"/>
          <w:kern w:val="2"/>
          <w:sz w:val="24"/>
          <w:szCs w:val="24"/>
          <w:highlight w:val="none"/>
        </w:rPr>
        <w:t>2、</w:t>
      </w:r>
      <w:r>
        <w:rPr>
          <w:rFonts w:hint="eastAsia" w:ascii="仿宋" w:hAnsi="仿宋" w:eastAsia="仿宋" w:cs="仿宋"/>
          <w:b/>
          <w:bCs/>
          <w:spacing w:val="-12"/>
          <w:kern w:val="2"/>
          <w:sz w:val="24"/>
          <w:szCs w:val="24"/>
          <w:highlight w:val="none"/>
          <w:lang w:eastAsia="zh-CN"/>
        </w:rPr>
        <w:t>乙方确认并同意，</w:t>
      </w:r>
      <w:r>
        <w:rPr>
          <w:rFonts w:hint="eastAsia" w:ascii="仿宋" w:hAnsi="仿宋" w:eastAsia="仿宋" w:cs="仿宋"/>
          <w:b/>
          <w:bCs/>
          <w:spacing w:val="-12"/>
          <w:kern w:val="2"/>
          <w:sz w:val="24"/>
          <w:szCs w:val="24"/>
          <w:highlight w:val="none"/>
        </w:rPr>
        <w:t>甲方</w:t>
      </w:r>
      <w:r>
        <w:rPr>
          <w:rFonts w:hint="eastAsia" w:ascii="仿宋" w:hAnsi="仿宋" w:eastAsia="仿宋" w:cs="仿宋"/>
          <w:b/>
          <w:bCs/>
          <w:spacing w:val="-12"/>
          <w:kern w:val="2"/>
          <w:sz w:val="24"/>
          <w:szCs w:val="24"/>
          <w:highlight w:val="none"/>
          <w:lang w:eastAsia="zh-CN"/>
        </w:rPr>
        <w:t>有权</w:t>
      </w:r>
      <w:r>
        <w:rPr>
          <w:rFonts w:hint="eastAsia" w:ascii="仿宋" w:hAnsi="仿宋" w:eastAsia="仿宋" w:cs="仿宋"/>
          <w:b/>
          <w:bCs/>
          <w:spacing w:val="-12"/>
          <w:kern w:val="2"/>
          <w:sz w:val="24"/>
          <w:szCs w:val="24"/>
          <w:highlight w:val="none"/>
        </w:rPr>
        <w:t>根据市场情况，</w:t>
      </w:r>
      <w:r>
        <w:rPr>
          <w:rFonts w:hint="eastAsia" w:ascii="仿宋" w:hAnsi="仿宋" w:eastAsia="仿宋" w:cs="仿宋"/>
          <w:b/>
          <w:bCs/>
          <w:spacing w:val="-12"/>
          <w:kern w:val="2"/>
          <w:sz w:val="24"/>
          <w:szCs w:val="24"/>
          <w:highlight w:val="none"/>
          <w:lang w:eastAsia="zh-CN"/>
        </w:rPr>
        <w:t>单方</w:t>
      </w:r>
      <w:r>
        <w:rPr>
          <w:rFonts w:hint="eastAsia" w:ascii="仿宋" w:hAnsi="仿宋" w:eastAsia="仿宋" w:cs="仿宋"/>
          <w:b/>
          <w:bCs/>
          <w:spacing w:val="-12"/>
          <w:kern w:val="2"/>
          <w:sz w:val="24"/>
          <w:szCs w:val="24"/>
          <w:highlight w:val="none"/>
        </w:rPr>
        <w:t>调整委托给乙方的案件</w:t>
      </w:r>
      <w:r>
        <w:rPr>
          <w:rFonts w:hint="eastAsia" w:ascii="仿宋" w:hAnsi="仿宋" w:eastAsia="仿宋" w:cs="仿宋"/>
          <w:b/>
          <w:bCs/>
          <w:spacing w:val="-12"/>
          <w:kern w:val="2"/>
          <w:sz w:val="24"/>
          <w:szCs w:val="24"/>
          <w:highlight w:val="none"/>
          <w:lang w:eastAsia="zh-CN"/>
        </w:rPr>
        <w:t>基础费用和</w:t>
      </w:r>
      <w:r>
        <w:rPr>
          <w:rFonts w:hint="eastAsia" w:ascii="仿宋" w:hAnsi="仿宋" w:eastAsia="仿宋" w:cs="仿宋"/>
          <w:b/>
          <w:bCs/>
          <w:spacing w:val="-12"/>
          <w:kern w:val="2"/>
          <w:sz w:val="24"/>
          <w:szCs w:val="24"/>
          <w:highlight w:val="none"/>
        </w:rPr>
        <w:t>律师代理费率。甲乙双方实际</w:t>
      </w:r>
      <w:r>
        <w:rPr>
          <w:rFonts w:hint="eastAsia" w:ascii="仿宋" w:hAnsi="仿宋" w:eastAsia="仿宋" w:cs="仿宋"/>
          <w:b/>
          <w:bCs/>
          <w:spacing w:val="-12"/>
          <w:kern w:val="2"/>
          <w:sz w:val="24"/>
          <w:szCs w:val="24"/>
          <w:highlight w:val="none"/>
          <w:lang w:eastAsia="zh-CN"/>
        </w:rPr>
        <w:t>结算费用</w:t>
      </w:r>
      <w:r>
        <w:rPr>
          <w:rFonts w:hint="eastAsia" w:ascii="仿宋" w:hAnsi="仿宋" w:eastAsia="仿宋" w:cs="仿宋"/>
          <w:b/>
          <w:bCs/>
          <w:spacing w:val="-12"/>
          <w:kern w:val="2"/>
          <w:sz w:val="24"/>
          <w:szCs w:val="24"/>
          <w:highlight w:val="none"/>
        </w:rPr>
        <w:t xml:space="preserve">以甲方策略及书面通知为准，解释权归甲方所有。 </w:t>
      </w:r>
      <w:r>
        <w:rPr>
          <w:rFonts w:hint="eastAsia" w:ascii="仿宋" w:hAnsi="仿宋" w:eastAsia="仿宋" w:cs="仿宋"/>
          <w:spacing w:val="-12"/>
          <w:kern w:val="2"/>
          <w:sz w:val="24"/>
          <w:szCs w:val="24"/>
          <w:highlight w:val="none"/>
        </w:rPr>
        <w:t xml:space="preserve">               </w:t>
      </w:r>
    </w:p>
    <w:p w14:paraId="04AF426B">
      <w:pPr>
        <w:pStyle w:val="11"/>
        <w:numPr>
          <w:ilvl w:val="0"/>
          <w:numId w:val="7"/>
        </w:numPr>
        <w:shd w:val="clear" w:color="auto" w:fill="auto"/>
        <w:snapToGrid w:val="0"/>
        <w:spacing w:line="400" w:lineRule="exact"/>
        <w:ind w:firstLine="432" w:firstLineChars="200"/>
        <w:contextualSpacing/>
        <w:rPr>
          <w:rFonts w:hint="eastAsia" w:ascii="仿宋" w:hAnsi="仿宋" w:eastAsia="仿宋" w:cs="仿宋"/>
          <w:spacing w:val="-12"/>
          <w:kern w:val="2"/>
          <w:sz w:val="24"/>
          <w:szCs w:val="24"/>
          <w:highlight w:val="none"/>
        </w:rPr>
      </w:pPr>
      <w:r>
        <w:rPr>
          <w:rFonts w:hint="eastAsia" w:ascii="仿宋" w:hAnsi="仿宋" w:eastAsia="仿宋" w:cs="仿宋"/>
          <w:spacing w:val="-12"/>
          <w:kern w:val="2"/>
          <w:sz w:val="24"/>
          <w:szCs w:val="24"/>
          <w:highlight w:val="none"/>
        </w:rPr>
        <w:t>诉讼案件在合同到期日至诉讼程序结束当月期间发生回款的，</w:t>
      </w:r>
      <w:r>
        <w:rPr>
          <w:rFonts w:hint="eastAsia" w:ascii="仿宋" w:hAnsi="仿宋" w:eastAsia="仿宋" w:cs="仿宋"/>
          <w:spacing w:val="-12"/>
          <w:kern w:val="2"/>
          <w:sz w:val="24"/>
          <w:szCs w:val="24"/>
          <w:highlight w:val="none"/>
          <w:lang w:eastAsia="zh-CN"/>
        </w:rPr>
        <w:t>甲</w:t>
      </w:r>
      <w:r>
        <w:rPr>
          <w:rFonts w:hint="eastAsia" w:ascii="仿宋" w:hAnsi="仿宋" w:eastAsia="仿宋" w:cs="仿宋"/>
          <w:spacing w:val="-12"/>
          <w:kern w:val="2"/>
          <w:sz w:val="24"/>
          <w:szCs w:val="24"/>
          <w:highlight w:val="none"/>
        </w:rPr>
        <w:t xml:space="preserve">方需正常结算律师代理费用，结算标准与合同约定的费用结算标准一致。  </w:t>
      </w:r>
    </w:p>
    <w:p w14:paraId="39993C5E">
      <w:pPr>
        <w:pStyle w:val="4"/>
        <w:widowControl w:val="0"/>
        <w:numPr>
          <w:ilvl w:val="0"/>
          <w:numId w:val="0"/>
        </w:numPr>
        <w:shd w:val="clear" w:color="auto" w:fill="auto"/>
        <w:autoSpaceDE w:val="0"/>
        <w:snapToGrid/>
        <w:spacing w:beforeLines="0" w:afterLines="0" w:line="400" w:lineRule="exact"/>
        <w:ind w:firstLine="432" w:firstLineChars="200"/>
        <w:contextualSpacing/>
        <w:rPr>
          <w:rFonts w:ascii="仿宋" w:hAnsi="仿宋" w:eastAsia="仿宋" w:cs="仿宋"/>
          <w:spacing w:val="-12"/>
          <w:kern w:val="2"/>
          <w:sz w:val="24"/>
          <w:szCs w:val="24"/>
          <w:highlight w:val="none"/>
        </w:rPr>
      </w:pPr>
      <w:r>
        <w:rPr>
          <w:rFonts w:hint="eastAsia" w:ascii="仿宋" w:hAnsi="仿宋" w:eastAsia="仿宋" w:cs="仿宋"/>
          <w:spacing w:val="-12"/>
          <w:kern w:val="2"/>
          <w:sz w:val="24"/>
          <w:szCs w:val="24"/>
          <w:highlight w:val="none"/>
          <w:lang w:val="en-US" w:eastAsia="zh-CN"/>
        </w:rPr>
        <w:t>4、</w:t>
      </w:r>
      <w:r>
        <w:rPr>
          <w:rFonts w:hint="eastAsia" w:ascii="仿宋" w:hAnsi="仿宋" w:eastAsia="仿宋" w:cs="仿宋"/>
          <w:b/>
          <w:bCs/>
          <w:spacing w:val="-12"/>
          <w:kern w:val="2"/>
          <w:sz w:val="24"/>
          <w:szCs w:val="24"/>
          <w:highlight w:val="none"/>
          <w:lang w:val="en-US" w:eastAsia="zh-CN"/>
        </w:rPr>
        <w:t>乙方确认并同意，</w:t>
      </w:r>
      <w:r>
        <w:rPr>
          <w:rFonts w:hint="eastAsia" w:ascii="仿宋" w:hAnsi="仿宋" w:eastAsia="仿宋" w:cs="仿宋"/>
          <w:b/>
          <w:bCs/>
          <w:spacing w:val="-12"/>
          <w:kern w:val="2"/>
          <w:sz w:val="24"/>
          <w:szCs w:val="24"/>
          <w:highlight w:val="none"/>
          <w:lang w:eastAsia="zh-CN"/>
        </w:rPr>
        <w:t>甲乙双方合作案件诉讼程序结束前，乙方因违反本合同或甲方相关规定涉及扣罚，甲方有权在应支付的</w:t>
      </w:r>
      <w:r>
        <w:rPr>
          <w:rFonts w:hint="eastAsia" w:ascii="仿宋" w:hAnsi="仿宋" w:eastAsia="仿宋" w:cs="仿宋"/>
          <w:b/>
          <w:bCs/>
          <w:spacing w:val="-11"/>
          <w:kern w:val="2"/>
          <w:sz w:val="24"/>
          <w:szCs w:val="24"/>
          <w:lang w:val="en-US" w:eastAsia="zh-CN"/>
        </w:rPr>
        <w:t>基础费用及律师代理费</w:t>
      </w:r>
      <w:r>
        <w:rPr>
          <w:rFonts w:hint="eastAsia" w:ascii="仿宋" w:hAnsi="仿宋" w:eastAsia="仿宋" w:cs="仿宋"/>
          <w:b/>
          <w:bCs/>
          <w:spacing w:val="-12"/>
          <w:kern w:val="2"/>
          <w:sz w:val="24"/>
          <w:szCs w:val="24"/>
          <w:highlight w:val="none"/>
          <w:lang w:eastAsia="zh-CN"/>
        </w:rPr>
        <w:t>中抵扣，如当月费用不足以抵扣的，甲方有权在后续月份持续抵扣或径直要求乙方支付相关违约金，直至弥补甲方全部损失。</w:t>
      </w:r>
      <w:r>
        <w:rPr>
          <w:rFonts w:hint="eastAsia" w:ascii="仿宋" w:hAnsi="仿宋" w:eastAsia="仿宋" w:cs="仿宋"/>
          <w:b/>
          <w:bCs/>
          <w:spacing w:val="-12"/>
          <w:kern w:val="2"/>
          <w:sz w:val="24"/>
          <w:szCs w:val="24"/>
          <w:highlight w:val="none"/>
        </w:rPr>
        <w:t xml:space="preserve"> </w:t>
      </w:r>
      <w:r>
        <w:rPr>
          <w:rFonts w:hint="eastAsia" w:ascii="仿宋" w:hAnsi="仿宋" w:eastAsia="仿宋" w:cs="仿宋"/>
          <w:spacing w:val="-12"/>
          <w:kern w:val="2"/>
          <w:sz w:val="24"/>
          <w:szCs w:val="24"/>
          <w:highlight w:val="none"/>
          <w:lang w:eastAsia="zh-CN"/>
        </w:rPr>
        <w:t>如</w:t>
      </w:r>
      <w:r>
        <w:rPr>
          <w:rFonts w:hint="eastAsia" w:ascii="仿宋" w:hAnsi="仿宋" w:eastAsia="仿宋" w:cs="仿宋"/>
          <w:spacing w:val="-12"/>
          <w:sz w:val="24"/>
          <w:szCs w:val="24"/>
          <w:highlight w:val="none"/>
          <w:lang w:val="zh-CN"/>
        </w:rPr>
        <w:t>乙方提出异议双方不能协商一致的，则视为提前解除合同，甲方有权全部撤回所有案件，</w:t>
      </w:r>
      <w:r>
        <w:rPr>
          <w:rFonts w:hint="eastAsia" w:ascii="仿宋" w:hAnsi="仿宋" w:eastAsia="仿宋" w:cs="仿宋"/>
          <w:sz w:val="24"/>
          <w:szCs w:val="24"/>
          <w:lang w:val="en-US" w:eastAsia="zh-CN"/>
        </w:rPr>
        <w:t>乙方应在20个工作日内将甲方所有资料返回并删除，不得已以任何方式留存。</w:t>
      </w:r>
      <w:r>
        <w:rPr>
          <w:rFonts w:hint="eastAsia" w:ascii="仿宋" w:hAnsi="仿宋" w:eastAsia="仿宋" w:cs="仿宋"/>
          <w:spacing w:val="-12"/>
          <w:kern w:val="2"/>
          <w:sz w:val="24"/>
          <w:szCs w:val="24"/>
          <w:highlight w:val="none"/>
        </w:rPr>
        <w:t xml:space="preserve">                                                                                                                                                                                                                                                                                                                                                                                                                                                                                                                                                                                                                                                                                                                                                                                                                                                                                                                                                                                                                                                                                                                                                                                                                                                                                                                                                                                                                                                                                                                                                                                                                                                                                                                                                                                                                                                                                                                                                                                                                                                                                                                                                                                                                                                                                                          </w:t>
      </w:r>
    </w:p>
    <w:p w14:paraId="58892547">
      <w:pPr>
        <w:numPr>
          <w:ilvl w:val="0"/>
          <w:numId w:val="0"/>
        </w:numPr>
        <w:shd w:val="clear" w:color="auto" w:fill="auto"/>
        <w:snapToGrid w:val="0"/>
        <w:spacing w:line="400" w:lineRule="exact"/>
        <w:ind w:left="560" w:firstLine="0"/>
        <w:contextualSpacing/>
        <w:rPr>
          <w:rFonts w:hint="default" w:ascii="仿宋" w:hAnsi="仿宋" w:eastAsia="仿宋" w:cs="仿宋"/>
          <w:spacing w:val="-12"/>
          <w:sz w:val="24"/>
          <w:szCs w:val="24"/>
          <w:highlight w:val="none"/>
        </w:rPr>
      </w:pPr>
      <w:r>
        <w:rPr>
          <w:rFonts w:hint="eastAsia" w:ascii="仿宋" w:hAnsi="仿宋" w:eastAsia="仿宋" w:cs="仿宋"/>
          <w:spacing w:val="-12"/>
          <w:sz w:val="24"/>
          <w:szCs w:val="24"/>
          <w:highlight w:val="none"/>
          <w:lang w:eastAsia="zh-CN"/>
        </w:rPr>
        <w:t>（二）</w:t>
      </w:r>
      <w:r>
        <w:rPr>
          <w:rFonts w:ascii="仿宋" w:hAnsi="仿宋" w:eastAsia="仿宋" w:cs="仿宋"/>
          <w:spacing w:val="-12"/>
          <w:sz w:val="24"/>
          <w:szCs w:val="24"/>
          <w:highlight w:val="none"/>
        </w:rPr>
        <w:t>支付方式</w:t>
      </w:r>
    </w:p>
    <w:p w14:paraId="4F0304D4">
      <w:pPr>
        <w:shd w:val="clear" w:color="auto" w:fill="auto"/>
        <w:snapToGrid w:val="0"/>
        <w:spacing w:line="400" w:lineRule="exact"/>
        <w:ind w:firstLine="432" w:firstLineChars="200"/>
        <w:contextualSpacing/>
        <w:rPr>
          <w:rFonts w:ascii="仿宋" w:hAnsi="仿宋" w:eastAsia="仿宋" w:cs="仿宋"/>
          <w:spacing w:val="-12"/>
          <w:sz w:val="24"/>
          <w:szCs w:val="24"/>
          <w:highlight w:val="none"/>
          <w:lang w:val="zh-CN"/>
        </w:rPr>
      </w:pPr>
      <w:r>
        <w:rPr>
          <w:rFonts w:ascii="仿宋" w:hAnsi="仿宋" w:eastAsia="仿宋" w:cs="仿宋"/>
          <w:spacing w:val="-12"/>
          <w:sz w:val="24"/>
          <w:szCs w:val="24"/>
          <w:highlight w:val="none"/>
        </w:rPr>
        <w:t>在委托期限内满足本条第（一）款约定支付条件后，</w:t>
      </w:r>
      <w:r>
        <w:rPr>
          <w:rFonts w:ascii="仿宋" w:hAnsi="仿宋" w:eastAsia="仿宋" w:cs="仿宋"/>
          <w:spacing w:val="-12"/>
          <w:sz w:val="24"/>
          <w:szCs w:val="24"/>
          <w:highlight w:val="none"/>
          <w:lang w:val="zh-CN"/>
        </w:rPr>
        <w:t>乙方应在甲方要求的期限内向甲方提出律师代理费</w:t>
      </w:r>
      <w:r>
        <w:rPr>
          <w:rFonts w:hint="eastAsia" w:ascii="仿宋" w:hAnsi="仿宋" w:eastAsia="仿宋" w:cs="仿宋"/>
          <w:spacing w:val="-12"/>
          <w:sz w:val="24"/>
          <w:szCs w:val="24"/>
          <w:highlight w:val="none"/>
          <w:lang w:val="en-US" w:eastAsia="zh-CN"/>
        </w:rPr>
        <w:t>和基础费用</w:t>
      </w:r>
      <w:r>
        <w:rPr>
          <w:rFonts w:ascii="仿宋" w:hAnsi="仿宋" w:eastAsia="仿宋" w:cs="仿宋"/>
          <w:spacing w:val="-12"/>
          <w:sz w:val="24"/>
          <w:szCs w:val="24"/>
          <w:highlight w:val="none"/>
          <w:lang w:val="zh-CN"/>
        </w:rPr>
        <w:t>的请款申请，请款申请材料以甲方要求为准。甲方在收到乙方的请款申请后及时完成金额的核对，若甲方对请款申请有异议的，双方应各自举证，协商一致解决，协商不一致的，以甲方数据为准。乙方对双方核对后的金额提供足额发票，甲方按本合同的约定支付当期应付律师代理费</w:t>
      </w:r>
      <w:r>
        <w:rPr>
          <w:rFonts w:hint="eastAsia" w:ascii="仿宋" w:hAnsi="仿宋" w:eastAsia="仿宋" w:cs="仿宋"/>
          <w:spacing w:val="-12"/>
          <w:sz w:val="24"/>
          <w:szCs w:val="24"/>
          <w:highlight w:val="none"/>
          <w:lang w:val="en-US" w:eastAsia="zh-CN"/>
        </w:rPr>
        <w:t>和基础费用</w:t>
      </w:r>
      <w:r>
        <w:rPr>
          <w:rFonts w:ascii="仿宋" w:hAnsi="仿宋" w:eastAsia="仿宋" w:cs="仿宋"/>
          <w:spacing w:val="-12"/>
          <w:sz w:val="24"/>
          <w:szCs w:val="24"/>
          <w:highlight w:val="none"/>
          <w:lang w:val="zh-CN"/>
        </w:rPr>
        <w:t>至乙方指定账户：</w:t>
      </w:r>
    </w:p>
    <w:p w14:paraId="36F99EE7">
      <w:pPr>
        <w:pStyle w:val="2"/>
        <w:shd w:val="clear" w:color="auto" w:fill="auto"/>
        <w:ind w:firstLine="432" w:firstLineChars="200"/>
        <w:rPr>
          <w:rFonts w:hint="eastAsia" w:ascii="仿宋" w:hAnsi="仿宋" w:eastAsia="仿宋" w:cs="仿宋"/>
          <w:b w:val="0"/>
          <w:bCs w:val="0"/>
          <w:spacing w:val="-12"/>
          <w:sz w:val="24"/>
          <w:szCs w:val="24"/>
          <w:highlight w:val="none"/>
          <w:lang w:val="en-US" w:eastAsia="zh-CN"/>
        </w:rPr>
      </w:pPr>
      <w:r>
        <w:rPr>
          <w:rFonts w:hint="eastAsia" w:ascii="仿宋" w:hAnsi="仿宋" w:eastAsia="仿宋" w:cs="仿宋"/>
          <w:b w:val="0"/>
          <w:bCs w:val="0"/>
          <w:spacing w:val="-12"/>
          <w:sz w:val="24"/>
          <w:szCs w:val="24"/>
          <w:highlight w:val="none"/>
          <w:lang w:val="en-US" w:eastAsia="zh-CN"/>
        </w:rPr>
        <w:t>乙方开户银行：</w:t>
      </w:r>
    </w:p>
    <w:p w14:paraId="42F9F5D3">
      <w:pPr>
        <w:pStyle w:val="2"/>
        <w:shd w:val="clear" w:color="auto" w:fill="auto"/>
        <w:ind w:firstLine="432" w:firstLineChars="200"/>
        <w:rPr>
          <w:rFonts w:hint="eastAsia" w:ascii="仿宋" w:hAnsi="仿宋" w:eastAsia="仿宋" w:cs="仿宋"/>
          <w:b w:val="0"/>
          <w:bCs w:val="0"/>
          <w:spacing w:val="-12"/>
          <w:sz w:val="24"/>
          <w:szCs w:val="24"/>
          <w:highlight w:val="none"/>
          <w:lang w:val="en-US" w:eastAsia="zh-CN"/>
        </w:rPr>
      </w:pPr>
      <w:r>
        <w:rPr>
          <w:rFonts w:hint="eastAsia" w:ascii="仿宋" w:hAnsi="仿宋" w:eastAsia="仿宋" w:cs="仿宋"/>
          <w:b w:val="0"/>
          <w:bCs w:val="0"/>
          <w:spacing w:val="-12"/>
          <w:sz w:val="24"/>
          <w:szCs w:val="24"/>
          <w:highlight w:val="none"/>
          <w:lang w:val="en-US" w:eastAsia="zh-CN"/>
        </w:rPr>
        <w:t>开户名：</w:t>
      </w:r>
    </w:p>
    <w:p w14:paraId="022E8A9A">
      <w:pPr>
        <w:pStyle w:val="2"/>
        <w:shd w:val="clear" w:color="auto" w:fill="auto"/>
        <w:ind w:firstLine="432" w:firstLineChars="200"/>
        <w:rPr>
          <w:rFonts w:hint="default"/>
          <w:lang w:val="en-US" w:eastAsia="zh-CN"/>
        </w:rPr>
      </w:pPr>
      <w:r>
        <w:rPr>
          <w:rFonts w:hint="eastAsia" w:ascii="仿宋" w:hAnsi="仿宋" w:eastAsia="仿宋" w:cs="仿宋"/>
          <w:b w:val="0"/>
          <w:bCs w:val="0"/>
          <w:spacing w:val="-12"/>
          <w:sz w:val="24"/>
          <w:szCs w:val="24"/>
          <w:highlight w:val="none"/>
          <w:lang w:val="en-US" w:eastAsia="zh-CN"/>
        </w:rPr>
        <w:t>账号：</w:t>
      </w:r>
    </w:p>
    <w:p w14:paraId="0B66A70E">
      <w:pPr>
        <w:shd w:val="clear" w:color="auto" w:fill="auto"/>
        <w:spacing w:line="400" w:lineRule="exact"/>
        <w:ind w:firstLine="544"/>
        <w:rPr>
          <w:rFonts w:hint="default" w:ascii="仿宋" w:hAnsi="仿宋" w:eastAsia="仿宋" w:cs="仿宋"/>
          <w:bCs/>
          <w:spacing w:val="-12"/>
          <w:sz w:val="24"/>
          <w:szCs w:val="24"/>
          <w:highlight w:val="none"/>
        </w:rPr>
      </w:pPr>
      <w:r>
        <w:rPr>
          <w:rFonts w:hint="eastAsia" w:ascii="仿宋" w:hAnsi="仿宋" w:eastAsia="仿宋" w:cs="仿宋"/>
          <w:bCs/>
          <w:spacing w:val="-12"/>
          <w:sz w:val="24"/>
          <w:szCs w:val="24"/>
          <w:highlight w:val="none"/>
          <w:lang w:eastAsia="zh-CN"/>
        </w:rPr>
        <w:t>（三）</w:t>
      </w:r>
      <w:r>
        <w:rPr>
          <w:rFonts w:ascii="仿宋" w:hAnsi="仿宋" w:eastAsia="仿宋" w:cs="仿宋"/>
          <w:bCs/>
          <w:spacing w:val="-12"/>
          <w:sz w:val="24"/>
          <w:szCs w:val="24"/>
          <w:highlight w:val="none"/>
        </w:rPr>
        <w:t>诉讼费用的垫付与报销</w:t>
      </w:r>
    </w:p>
    <w:p w14:paraId="39025BD4">
      <w:pPr>
        <w:shd w:val="clear" w:color="auto" w:fill="auto"/>
        <w:snapToGrid w:val="0"/>
        <w:spacing w:line="400" w:lineRule="exact"/>
        <w:ind w:firstLine="432" w:firstLineChars="200"/>
        <w:contextualSpacing/>
        <w:rPr>
          <w:rFonts w:hint="default" w:ascii="仿宋" w:hAnsi="仿宋" w:eastAsia="仿宋" w:cs="仿宋"/>
          <w:spacing w:val="-12"/>
          <w:sz w:val="24"/>
          <w:szCs w:val="24"/>
          <w:highlight w:val="none"/>
          <w:lang w:val="zh-CN"/>
        </w:rPr>
      </w:pPr>
      <w:r>
        <w:rPr>
          <w:rFonts w:ascii="仿宋" w:hAnsi="仿宋" w:eastAsia="仿宋" w:cs="仿宋"/>
          <w:spacing w:val="-12"/>
          <w:sz w:val="24"/>
          <w:szCs w:val="24"/>
          <w:highlight w:val="none"/>
          <w:lang w:val="zh-CN"/>
        </w:rPr>
        <w:t>乙方在代理甲方委托的诉讼案件过程中先行垫付各项诉讼费用（如案件受理费、财产保全费、公告送达费等）后，应填写《诉讼费报销明细表》 《诉讼费挂账请示》 ，并提交相关诉讼发票/行政收据、案件受理通知书、缴费通知单等材料向甲方申请报销，甲方对上述材料审核无误后，将相应款项支付至乙方指定收款账户。乙方指定收款账户如下：</w:t>
      </w:r>
    </w:p>
    <w:p w14:paraId="52EEB963">
      <w:pPr>
        <w:shd w:val="clear" w:color="auto" w:fill="auto"/>
        <w:snapToGrid w:val="0"/>
        <w:spacing w:line="400" w:lineRule="exact"/>
        <w:ind w:left="0" w:leftChars="0" w:firstLine="432" w:firstLineChars="200"/>
        <w:contextualSpacing/>
        <w:rPr>
          <w:rFonts w:ascii="仿宋" w:hAnsi="仿宋" w:eastAsia="仿宋" w:cs="仿宋"/>
          <w:spacing w:val="-12"/>
          <w:sz w:val="24"/>
          <w:szCs w:val="24"/>
          <w:highlight w:val="none"/>
          <w:lang w:val="zh-CN"/>
        </w:rPr>
      </w:pPr>
      <w:r>
        <w:rPr>
          <w:rFonts w:ascii="仿宋" w:hAnsi="仿宋" w:eastAsia="仿宋" w:cs="仿宋"/>
          <w:spacing w:val="-12"/>
          <w:sz w:val="24"/>
          <w:szCs w:val="24"/>
          <w:highlight w:val="none"/>
          <w:lang w:val="zh-CN"/>
        </w:rPr>
        <w:t>开户银行：</w:t>
      </w:r>
    </w:p>
    <w:p w14:paraId="29E5A3C7">
      <w:pPr>
        <w:shd w:val="clear" w:color="auto" w:fill="auto"/>
        <w:snapToGrid w:val="0"/>
        <w:spacing w:line="400" w:lineRule="exact"/>
        <w:ind w:left="0" w:leftChars="0" w:firstLine="432" w:firstLineChars="200"/>
        <w:contextualSpacing/>
        <w:rPr>
          <w:rFonts w:ascii="仿宋" w:hAnsi="仿宋" w:eastAsia="仿宋" w:cs="仿宋"/>
          <w:spacing w:val="-12"/>
          <w:sz w:val="24"/>
          <w:szCs w:val="24"/>
          <w:highlight w:val="none"/>
          <w:lang w:val="zh-CN"/>
        </w:rPr>
      </w:pPr>
      <w:r>
        <w:rPr>
          <w:rFonts w:ascii="仿宋" w:hAnsi="仿宋" w:eastAsia="仿宋" w:cs="仿宋"/>
          <w:spacing w:val="-12"/>
          <w:sz w:val="24"/>
          <w:szCs w:val="24"/>
          <w:highlight w:val="none"/>
          <w:lang w:val="zh-CN"/>
        </w:rPr>
        <w:t>开户名：</w:t>
      </w:r>
    </w:p>
    <w:p w14:paraId="5D02EF38">
      <w:pPr>
        <w:shd w:val="clear" w:color="auto" w:fill="auto"/>
        <w:snapToGrid w:val="0"/>
        <w:spacing w:line="400" w:lineRule="exact"/>
        <w:ind w:left="0" w:leftChars="0" w:firstLine="432" w:firstLineChars="200"/>
        <w:contextualSpacing/>
        <w:rPr>
          <w:rFonts w:ascii="仿宋" w:hAnsi="仿宋" w:eastAsia="仿宋" w:cs="仿宋"/>
          <w:spacing w:val="-12"/>
          <w:sz w:val="24"/>
          <w:szCs w:val="24"/>
          <w:highlight w:val="none"/>
          <w:lang w:val="zh-CN"/>
        </w:rPr>
      </w:pPr>
      <w:r>
        <w:rPr>
          <w:rFonts w:ascii="仿宋" w:hAnsi="仿宋" w:eastAsia="仿宋" w:cs="仿宋"/>
          <w:spacing w:val="-12"/>
          <w:sz w:val="24"/>
          <w:szCs w:val="24"/>
          <w:highlight w:val="none"/>
          <w:lang w:val="zh-CN"/>
        </w:rPr>
        <w:t>账号：</w:t>
      </w:r>
    </w:p>
    <w:p w14:paraId="7621C089">
      <w:pPr>
        <w:shd w:val="clear" w:color="auto" w:fill="auto"/>
        <w:snapToGrid w:val="0"/>
        <w:spacing w:line="400" w:lineRule="exact"/>
        <w:ind w:left="0" w:leftChars="0" w:firstLine="432" w:firstLineChars="200"/>
        <w:contextualSpacing/>
        <w:rPr>
          <w:rFonts w:hint="default" w:eastAsia="仿宋"/>
          <w:lang w:val="en-US" w:eastAsia="zh-CN"/>
        </w:rPr>
      </w:pPr>
      <w:r>
        <w:rPr>
          <w:rFonts w:ascii="仿宋" w:hAnsi="仿宋" w:eastAsia="仿宋" w:cs="仿宋"/>
          <w:spacing w:val="-12"/>
          <w:sz w:val="24"/>
          <w:szCs w:val="24"/>
          <w:highlight w:val="none"/>
          <w:lang w:val="zh-CN"/>
        </w:rPr>
        <w:t>行所号：</w:t>
      </w:r>
    </w:p>
    <w:p w14:paraId="08ABDD9F">
      <w:pPr>
        <w:shd w:val="clear" w:color="auto" w:fill="auto"/>
        <w:snapToGrid w:val="0"/>
        <w:spacing w:line="400" w:lineRule="exact"/>
        <w:ind w:left="0" w:leftChars="0" w:firstLine="432" w:firstLineChars="200"/>
        <w:contextualSpacing/>
        <w:rPr>
          <w:rFonts w:ascii="仿宋" w:hAnsi="仿宋" w:eastAsia="仿宋" w:cs="仿宋"/>
          <w:spacing w:val="-12"/>
          <w:sz w:val="24"/>
          <w:szCs w:val="24"/>
          <w:highlight w:val="none"/>
          <w:lang w:val="zh-CN"/>
        </w:rPr>
      </w:pPr>
      <w:r>
        <w:rPr>
          <w:rFonts w:ascii="仿宋" w:hAnsi="仿宋" w:eastAsia="仿宋" w:cs="仿宋"/>
          <w:spacing w:val="-12"/>
          <w:sz w:val="24"/>
          <w:szCs w:val="24"/>
          <w:highlight w:val="none"/>
          <w:lang w:val="zh-CN"/>
        </w:rPr>
        <w:t>以上指定收款账户信息如有变更，乙方需于下次报销日提前一个月以书面形式通知甲方。若乙方未依约及时通知甲方收款账户变更，由此所造成的乙方损失均由乙方自行承担。</w:t>
      </w:r>
    </w:p>
    <w:p w14:paraId="0A0A8093">
      <w:pPr>
        <w:shd w:val="clear" w:color="auto" w:fill="auto"/>
        <w:snapToGrid w:val="0"/>
        <w:spacing w:line="400" w:lineRule="exact"/>
        <w:ind w:firstLine="432" w:firstLineChars="200"/>
        <w:contextualSpacing/>
        <w:rPr>
          <w:rFonts w:hint="default" w:ascii="仿宋" w:hAnsi="仿宋" w:eastAsia="仿宋" w:cs="仿宋"/>
          <w:spacing w:val="-12"/>
          <w:sz w:val="24"/>
          <w:szCs w:val="24"/>
          <w:highlight w:val="none"/>
          <w:lang w:val="zh-CN"/>
        </w:rPr>
      </w:pPr>
    </w:p>
    <w:p w14:paraId="524DACBF">
      <w:pPr>
        <w:shd w:val="clear" w:color="auto" w:fill="auto"/>
        <w:snapToGrid w:val="0"/>
        <w:spacing w:line="400" w:lineRule="exact"/>
        <w:ind w:firstLine="600"/>
        <w:contextualSpacing/>
        <w:jc w:val="center"/>
        <w:rPr>
          <w:rFonts w:hint="default" w:ascii="仿宋" w:hAnsi="仿宋" w:eastAsia="仿宋" w:cs="仿宋"/>
          <w:b/>
          <w:bCs/>
          <w:spacing w:val="-12"/>
          <w:sz w:val="24"/>
          <w:szCs w:val="24"/>
          <w:highlight w:val="none"/>
        </w:rPr>
      </w:pPr>
      <w:r>
        <w:rPr>
          <w:rFonts w:hint="eastAsia" w:ascii="仿宋" w:hAnsi="仿宋" w:eastAsia="仿宋" w:cs="仿宋"/>
          <w:b/>
          <w:bCs/>
          <w:spacing w:val="-12"/>
          <w:sz w:val="24"/>
          <w:szCs w:val="24"/>
          <w:highlight w:val="none"/>
          <w:lang w:eastAsia="zh-CN"/>
        </w:rPr>
        <w:t>八</w:t>
      </w:r>
      <w:r>
        <w:rPr>
          <w:rFonts w:ascii="仿宋" w:hAnsi="仿宋" w:eastAsia="仿宋" w:cs="仿宋"/>
          <w:b/>
          <w:bCs/>
          <w:spacing w:val="-12"/>
          <w:sz w:val="24"/>
          <w:szCs w:val="24"/>
          <w:highlight w:val="none"/>
        </w:rPr>
        <w:t>、保密责任</w:t>
      </w:r>
    </w:p>
    <w:p w14:paraId="16302631">
      <w:pPr>
        <w:shd w:val="clear" w:color="auto" w:fill="auto"/>
        <w:snapToGrid w:val="0"/>
        <w:spacing w:line="400" w:lineRule="exact"/>
        <w:ind w:firstLine="600"/>
        <w:contextualSpacing/>
        <w:rPr>
          <w:rFonts w:hint="default" w:ascii="仿宋" w:hAnsi="仿宋" w:eastAsia="仿宋" w:cs="仿宋"/>
          <w:spacing w:val="-12"/>
          <w:sz w:val="24"/>
          <w:szCs w:val="24"/>
          <w:highlight w:val="none"/>
        </w:rPr>
      </w:pPr>
      <w:r>
        <w:rPr>
          <w:rFonts w:hint="eastAsia" w:ascii="仿宋" w:hAnsi="仿宋" w:eastAsia="仿宋" w:cs="仿宋"/>
          <w:spacing w:val="-12"/>
          <w:sz w:val="24"/>
          <w:szCs w:val="24"/>
          <w:highlight w:val="none"/>
        </w:rPr>
        <w:t>（一）</w:t>
      </w:r>
      <w:r>
        <w:rPr>
          <w:rFonts w:ascii="仿宋" w:hAnsi="仿宋" w:eastAsia="仿宋" w:cs="仿宋"/>
          <w:spacing w:val="-12"/>
          <w:sz w:val="24"/>
          <w:szCs w:val="24"/>
          <w:highlight w:val="none"/>
        </w:rPr>
        <w:t>双方在订立合同前后及合同履行过程中获悉的对方资料信息，除已向社会公开的之外，均属该方商业秘密。甲乙双方均有责任保护双方的商业和技术机密，不得将对方的商业信息、技术资料及客户资料透露给第三方（除双方允许公开发表外），若违反此项条款，违约方将负责赔偿因泄露对方商业和技术机密而给对方造成的一切损失。</w:t>
      </w:r>
    </w:p>
    <w:p w14:paraId="423DEF34">
      <w:pPr>
        <w:shd w:val="clear" w:color="auto" w:fill="auto"/>
        <w:snapToGrid w:val="0"/>
        <w:spacing w:line="400" w:lineRule="exact"/>
        <w:ind w:firstLine="600"/>
        <w:contextualSpacing/>
        <w:rPr>
          <w:rFonts w:hint="default" w:ascii="仿宋" w:hAnsi="仿宋" w:eastAsia="仿宋" w:cs="仿宋"/>
          <w:spacing w:val="-12"/>
          <w:sz w:val="24"/>
          <w:szCs w:val="24"/>
          <w:highlight w:val="none"/>
        </w:rPr>
      </w:pPr>
      <w:r>
        <w:rPr>
          <w:rFonts w:ascii="仿宋" w:hAnsi="仿宋" w:eastAsia="仿宋" w:cs="仿宋"/>
          <w:spacing w:val="-12"/>
          <w:sz w:val="24"/>
          <w:szCs w:val="24"/>
          <w:highlight w:val="none"/>
        </w:rPr>
        <w:t>（二）甲、乙双方均有义务促使与其相关或关联的任何人或其代表遵守保密条款中的相关规定。</w:t>
      </w:r>
    </w:p>
    <w:p w14:paraId="5F5F0590">
      <w:pPr>
        <w:shd w:val="clear" w:color="auto" w:fill="auto"/>
        <w:snapToGrid w:val="0"/>
        <w:spacing w:line="400" w:lineRule="exact"/>
        <w:ind w:firstLine="600"/>
        <w:contextualSpacing/>
        <w:rPr>
          <w:rFonts w:hint="default" w:ascii="仿宋" w:hAnsi="仿宋" w:eastAsia="仿宋" w:cs="仿宋"/>
          <w:spacing w:val="-12"/>
          <w:sz w:val="24"/>
          <w:szCs w:val="24"/>
          <w:highlight w:val="none"/>
        </w:rPr>
      </w:pPr>
      <w:r>
        <w:rPr>
          <w:rFonts w:ascii="仿宋" w:hAnsi="仿宋" w:eastAsia="仿宋" w:cs="仿宋"/>
          <w:spacing w:val="-12"/>
          <w:sz w:val="24"/>
          <w:szCs w:val="24"/>
          <w:highlight w:val="none"/>
        </w:rPr>
        <w:t>（三）甲乙任何一方在没有得到对方书面同意前，不得以任何形式将对方的商标、图片及活动的相关资料用作与本合作项目无关的用途。</w:t>
      </w:r>
    </w:p>
    <w:p w14:paraId="1662EE89">
      <w:pPr>
        <w:shd w:val="clear" w:color="auto" w:fill="auto"/>
        <w:snapToGrid w:val="0"/>
        <w:spacing w:line="400" w:lineRule="exact"/>
        <w:ind w:firstLine="600"/>
        <w:contextualSpacing/>
        <w:rPr>
          <w:rFonts w:hint="default" w:ascii="仿宋" w:hAnsi="仿宋" w:eastAsia="仿宋" w:cs="仿宋"/>
          <w:spacing w:val="-12"/>
          <w:sz w:val="24"/>
          <w:szCs w:val="24"/>
          <w:highlight w:val="none"/>
        </w:rPr>
      </w:pPr>
      <w:r>
        <w:rPr>
          <w:rFonts w:hint="eastAsia" w:ascii="仿宋" w:hAnsi="仿宋" w:eastAsia="仿宋" w:cs="仿宋"/>
          <w:spacing w:val="-12"/>
          <w:sz w:val="24"/>
          <w:szCs w:val="24"/>
          <w:highlight w:val="none"/>
          <w:lang w:eastAsia="zh-CN"/>
        </w:rPr>
        <w:t>（四）</w:t>
      </w:r>
      <w:r>
        <w:rPr>
          <w:rFonts w:ascii="仿宋" w:hAnsi="仿宋" w:eastAsia="仿宋" w:cs="仿宋"/>
          <w:spacing w:val="-12"/>
          <w:sz w:val="24"/>
          <w:szCs w:val="24"/>
          <w:highlight w:val="none"/>
        </w:rPr>
        <w:t>本条规定的保密义务不因本合同的变更、解除或终止而终止。</w:t>
      </w:r>
    </w:p>
    <w:p w14:paraId="378997C7">
      <w:pPr>
        <w:shd w:val="clear" w:color="auto" w:fill="auto"/>
        <w:snapToGrid w:val="0"/>
        <w:spacing w:line="400" w:lineRule="exact"/>
        <w:ind w:firstLine="600"/>
        <w:contextualSpacing/>
        <w:rPr>
          <w:rFonts w:ascii="仿宋" w:hAnsi="仿宋" w:eastAsia="仿宋" w:cs="仿宋"/>
          <w:spacing w:val="-12"/>
          <w:sz w:val="24"/>
          <w:szCs w:val="24"/>
          <w:highlight w:val="none"/>
        </w:rPr>
      </w:pPr>
      <w:r>
        <w:rPr>
          <w:rFonts w:hint="eastAsia" w:ascii="仿宋" w:hAnsi="仿宋" w:eastAsia="仿宋" w:cs="仿宋"/>
          <w:spacing w:val="-12"/>
          <w:sz w:val="24"/>
          <w:szCs w:val="24"/>
          <w:highlight w:val="none"/>
          <w:lang w:eastAsia="zh-CN"/>
        </w:rPr>
        <w:t>（五）</w:t>
      </w:r>
      <w:r>
        <w:rPr>
          <w:rFonts w:ascii="仿宋" w:hAnsi="仿宋" w:eastAsia="仿宋" w:cs="仿宋"/>
          <w:spacing w:val="-12"/>
          <w:sz w:val="24"/>
          <w:szCs w:val="24"/>
          <w:highlight w:val="none"/>
        </w:rPr>
        <w:t>乙方违反本协议保密条款的规定，应每次向甲方支付</w:t>
      </w:r>
      <w:r>
        <w:rPr>
          <w:rFonts w:hint="eastAsia" w:ascii="仿宋" w:hAnsi="仿宋" w:eastAsia="仿宋" w:cs="仿宋"/>
          <w:spacing w:val="-12"/>
          <w:sz w:val="24"/>
          <w:szCs w:val="24"/>
          <w:highlight w:val="none"/>
          <w:lang w:val="en-US" w:eastAsia="zh-CN"/>
        </w:rPr>
        <w:t>5万元</w:t>
      </w:r>
      <w:r>
        <w:rPr>
          <w:rFonts w:ascii="仿宋" w:hAnsi="仿宋" w:eastAsia="仿宋" w:cs="仿宋"/>
          <w:spacing w:val="-12"/>
          <w:sz w:val="24"/>
          <w:szCs w:val="24"/>
          <w:highlight w:val="none"/>
        </w:rPr>
        <w:t>作为违约金，违约金不足以弥补守约方损失的应补足。同时，甲方有权解除合同，无须向乙方承担任何责任，并有权就甲方的损失向乙方索赔。</w:t>
      </w:r>
    </w:p>
    <w:p w14:paraId="2B55AA5E">
      <w:pPr>
        <w:shd w:val="clear" w:color="auto" w:fill="auto"/>
        <w:snapToGrid w:val="0"/>
        <w:spacing w:line="400" w:lineRule="exact"/>
        <w:ind w:firstLine="600"/>
        <w:contextualSpacing/>
        <w:rPr>
          <w:rFonts w:hint="default" w:ascii="仿宋" w:hAnsi="仿宋" w:eastAsia="仿宋" w:cs="仿宋"/>
          <w:spacing w:val="-12"/>
          <w:sz w:val="24"/>
          <w:szCs w:val="24"/>
          <w:highlight w:val="none"/>
        </w:rPr>
      </w:pPr>
    </w:p>
    <w:p w14:paraId="06D2A6CD">
      <w:pPr>
        <w:shd w:val="clear" w:color="auto" w:fill="auto"/>
        <w:snapToGrid w:val="0"/>
        <w:spacing w:line="400" w:lineRule="exact"/>
        <w:ind w:firstLine="600"/>
        <w:contextualSpacing/>
        <w:jc w:val="center"/>
        <w:rPr>
          <w:rFonts w:hint="default" w:ascii="仿宋" w:hAnsi="仿宋" w:eastAsia="仿宋" w:cs="仿宋"/>
          <w:b/>
          <w:bCs/>
          <w:spacing w:val="-12"/>
          <w:sz w:val="24"/>
          <w:szCs w:val="24"/>
          <w:highlight w:val="none"/>
        </w:rPr>
      </w:pPr>
      <w:r>
        <w:rPr>
          <w:rFonts w:hint="eastAsia" w:ascii="仿宋" w:hAnsi="仿宋" w:eastAsia="仿宋" w:cs="仿宋"/>
          <w:b/>
          <w:bCs/>
          <w:spacing w:val="-12"/>
          <w:sz w:val="24"/>
          <w:szCs w:val="24"/>
          <w:highlight w:val="none"/>
          <w:lang w:eastAsia="zh-CN"/>
        </w:rPr>
        <w:t>九</w:t>
      </w:r>
      <w:r>
        <w:rPr>
          <w:rFonts w:ascii="仿宋" w:hAnsi="仿宋" w:eastAsia="仿宋" w:cs="仿宋"/>
          <w:b/>
          <w:bCs/>
          <w:spacing w:val="-12"/>
          <w:sz w:val="24"/>
          <w:szCs w:val="24"/>
          <w:highlight w:val="none"/>
        </w:rPr>
        <w:t>、违约责任</w:t>
      </w:r>
    </w:p>
    <w:p w14:paraId="3AB3AD71">
      <w:pPr>
        <w:shd w:val="clear" w:color="auto" w:fill="auto"/>
        <w:snapToGrid w:val="0"/>
        <w:spacing w:line="400" w:lineRule="exact"/>
        <w:ind w:firstLine="600"/>
        <w:contextualSpacing/>
        <w:rPr>
          <w:rFonts w:hint="eastAsia" w:ascii="仿宋" w:hAnsi="仿宋" w:eastAsia="仿宋" w:cs="仿宋"/>
          <w:spacing w:val="-12"/>
          <w:sz w:val="24"/>
          <w:szCs w:val="24"/>
          <w:highlight w:val="none"/>
        </w:rPr>
      </w:pPr>
      <w:r>
        <w:rPr>
          <w:rFonts w:hint="eastAsia" w:ascii="仿宋" w:hAnsi="仿宋" w:eastAsia="仿宋" w:cs="仿宋"/>
          <w:spacing w:val="-12"/>
          <w:sz w:val="24"/>
          <w:szCs w:val="24"/>
          <w:highlight w:val="none"/>
        </w:rPr>
        <w:t>（一）在乙方严格按照合同约定履行义务的前提下，甲方经乙方</w:t>
      </w:r>
      <w:r>
        <w:rPr>
          <w:rFonts w:hint="eastAsia" w:ascii="仿宋" w:hAnsi="仿宋" w:eastAsia="仿宋" w:cs="仿宋"/>
          <w:spacing w:val="-12"/>
          <w:sz w:val="24"/>
          <w:szCs w:val="24"/>
          <w:highlight w:val="none"/>
          <w:lang w:eastAsia="zh-CN"/>
        </w:rPr>
        <w:t>书面通知</w:t>
      </w:r>
      <w:r>
        <w:rPr>
          <w:rFonts w:hint="eastAsia" w:ascii="仿宋" w:hAnsi="仿宋" w:eastAsia="仿宋" w:cs="仿宋"/>
          <w:spacing w:val="-12"/>
          <w:sz w:val="24"/>
          <w:szCs w:val="24"/>
          <w:highlight w:val="none"/>
        </w:rPr>
        <w:t>催告后无故未能依约向乙方支付律师费的，自约定期限届满之日起，以应付未付律师费为本金，按中国人民银行同期活期存款利率向乙方支付利息。</w:t>
      </w:r>
    </w:p>
    <w:p w14:paraId="79CC8036">
      <w:pPr>
        <w:shd w:val="clear" w:color="auto" w:fill="auto"/>
        <w:snapToGrid w:val="0"/>
        <w:spacing w:line="400" w:lineRule="exact"/>
        <w:ind w:firstLine="600"/>
        <w:contextualSpacing/>
        <w:rPr>
          <w:rFonts w:hint="default" w:ascii="仿宋" w:hAnsi="仿宋" w:eastAsia="仿宋" w:cs="仿宋"/>
          <w:spacing w:val="-12"/>
          <w:sz w:val="24"/>
          <w:szCs w:val="24"/>
          <w:highlight w:val="none"/>
        </w:rPr>
      </w:pPr>
      <w:r>
        <w:rPr>
          <w:rFonts w:ascii="仿宋" w:hAnsi="仿宋" w:eastAsia="仿宋" w:cs="仿宋"/>
          <w:spacing w:val="-12"/>
          <w:sz w:val="24"/>
          <w:szCs w:val="24"/>
          <w:highlight w:val="none"/>
        </w:rPr>
        <w:t>（二）承办律师在办理委托事项的过程中，违反律师职业道德，未遵循勤勉尽责的律师执业操守，马虎懈怠、消极办案，导致或将要导致甲方的委托事项出现不利于甲方的后果的，甲方有权解除本合同，乙方应退还所收取的律师代理费。</w:t>
      </w:r>
    </w:p>
    <w:p w14:paraId="7869EE3D">
      <w:pPr>
        <w:shd w:val="clear" w:color="auto" w:fill="auto"/>
        <w:snapToGrid w:val="0"/>
        <w:spacing w:line="400" w:lineRule="exact"/>
        <w:ind w:firstLine="600"/>
        <w:contextualSpacing/>
        <w:rPr>
          <w:rFonts w:ascii="仿宋" w:hAnsi="仿宋" w:eastAsia="仿宋" w:cs="仿宋"/>
          <w:spacing w:val="-12"/>
          <w:sz w:val="24"/>
          <w:szCs w:val="24"/>
          <w:highlight w:val="none"/>
        </w:rPr>
      </w:pPr>
      <w:r>
        <w:rPr>
          <w:rFonts w:ascii="仿宋" w:hAnsi="仿宋" w:eastAsia="仿宋" w:cs="仿宋"/>
          <w:spacing w:val="-12"/>
          <w:sz w:val="24"/>
          <w:szCs w:val="24"/>
          <w:highlight w:val="none"/>
        </w:rPr>
        <w:t>（三）承办律师在办理委托事项的过程中，违反法律法规的规定、律师执业操守或本协议的约定给甲方造成损失的，乙方应予赔偿并退还所收取的律师代理费。</w:t>
      </w:r>
    </w:p>
    <w:p w14:paraId="1BB7B8B3">
      <w:pPr>
        <w:shd w:val="clear" w:color="auto" w:fill="auto"/>
        <w:snapToGrid w:val="0"/>
        <w:spacing w:line="400" w:lineRule="exact"/>
        <w:ind w:firstLine="600"/>
        <w:contextualSpacing/>
        <w:rPr>
          <w:rFonts w:hint="default" w:eastAsia="仿宋"/>
          <w:lang w:val="en-US" w:eastAsia="zh-CN"/>
        </w:rPr>
      </w:pPr>
      <w:r>
        <w:rPr>
          <w:rFonts w:hint="eastAsia" w:ascii="仿宋" w:hAnsi="仿宋" w:eastAsia="仿宋" w:cs="仿宋"/>
          <w:spacing w:val="-12"/>
          <w:sz w:val="24"/>
          <w:szCs w:val="24"/>
          <w:highlight w:val="none"/>
          <w:lang w:eastAsia="zh-CN"/>
        </w:rPr>
        <w:t>（四）在合作过程中，对于乙方违反本合同的行为，乙方应在甲方要求的时限内完成整改，如乙方未完成整改或者超期完成的，甲方有权解除本合同且不承担违约责任，且乙方应赔偿违约行为给甲方带来的所有损失。</w:t>
      </w:r>
    </w:p>
    <w:p w14:paraId="5640958E">
      <w:pPr>
        <w:pStyle w:val="2"/>
        <w:shd w:val="clear" w:color="auto" w:fill="auto"/>
        <w:rPr>
          <w:rFonts w:hint="eastAsia" w:eastAsia="仿宋"/>
          <w:highlight w:val="none"/>
          <w:lang w:val="en-US" w:eastAsia="zh-CN"/>
        </w:rPr>
      </w:pPr>
      <w:r>
        <w:rPr>
          <w:rFonts w:hint="eastAsia" w:ascii="仿宋" w:hAnsi="仿宋" w:eastAsia="仿宋" w:cs="仿宋"/>
          <w:spacing w:val="-12"/>
          <w:sz w:val="24"/>
          <w:szCs w:val="24"/>
          <w:highlight w:val="none"/>
          <w:lang w:val="en-US" w:eastAsia="zh-CN"/>
        </w:rPr>
        <w:t xml:space="preserve">      </w:t>
      </w:r>
    </w:p>
    <w:p w14:paraId="654077D3">
      <w:pPr>
        <w:shd w:val="clear" w:color="auto" w:fill="auto"/>
        <w:snapToGrid w:val="0"/>
        <w:spacing w:line="400" w:lineRule="exact"/>
        <w:ind w:firstLine="600"/>
        <w:contextualSpacing/>
        <w:rPr>
          <w:rFonts w:hint="default" w:ascii="仿宋" w:hAnsi="仿宋" w:eastAsia="仿宋" w:cs="仿宋"/>
          <w:spacing w:val="-12"/>
          <w:sz w:val="24"/>
          <w:szCs w:val="24"/>
          <w:highlight w:val="none"/>
        </w:rPr>
      </w:pPr>
    </w:p>
    <w:p w14:paraId="2474AC26">
      <w:pPr>
        <w:shd w:val="clear" w:color="auto" w:fill="auto"/>
        <w:spacing w:line="400" w:lineRule="exact"/>
        <w:ind w:firstLine="600"/>
        <w:jc w:val="center"/>
        <w:rPr>
          <w:rFonts w:hint="default" w:ascii="仿宋" w:hAnsi="仿宋" w:eastAsia="仿宋" w:cs="仿宋"/>
          <w:b/>
          <w:spacing w:val="-12"/>
          <w:sz w:val="24"/>
          <w:szCs w:val="24"/>
          <w:highlight w:val="none"/>
        </w:rPr>
      </w:pPr>
      <w:r>
        <w:rPr>
          <w:rFonts w:hint="eastAsia" w:ascii="仿宋" w:hAnsi="仿宋" w:eastAsia="仿宋" w:cs="仿宋"/>
          <w:b/>
          <w:spacing w:val="-12"/>
          <w:sz w:val="24"/>
          <w:szCs w:val="24"/>
          <w:highlight w:val="none"/>
          <w:lang w:eastAsia="zh-CN"/>
        </w:rPr>
        <w:t>十</w:t>
      </w:r>
      <w:r>
        <w:rPr>
          <w:rFonts w:ascii="仿宋" w:hAnsi="仿宋" w:eastAsia="仿宋" w:cs="仿宋"/>
          <w:b/>
          <w:spacing w:val="-12"/>
          <w:sz w:val="24"/>
          <w:szCs w:val="24"/>
          <w:highlight w:val="none"/>
        </w:rPr>
        <w:t>、税费与发票</w:t>
      </w:r>
    </w:p>
    <w:p w14:paraId="2EE8BE10">
      <w:pPr>
        <w:shd w:val="clear" w:color="auto" w:fill="auto"/>
        <w:spacing w:line="400" w:lineRule="exact"/>
        <w:ind w:firstLine="600"/>
        <w:rPr>
          <w:rFonts w:hint="default" w:ascii="仿宋" w:hAnsi="仿宋" w:eastAsia="仿宋" w:cs="仿宋"/>
          <w:spacing w:val="-12"/>
          <w:sz w:val="24"/>
          <w:szCs w:val="24"/>
          <w:highlight w:val="none"/>
        </w:rPr>
      </w:pPr>
      <w:r>
        <w:rPr>
          <w:rFonts w:ascii="仿宋" w:hAnsi="仿宋" w:eastAsia="仿宋" w:cs="仿宋"/>
          <w:spacing w:val="-12"/>
          <w:sz w:val="24"/>
          <w:szCs w:val="24"/>
          <w:highlight w:val="none"/>
        </w:rPr>
        <w:t>（一）本合同项下价款均为含税价款，已包括甲方因签署本合同所需缴纳的相关税费。</w:t>
      </w:r>
    </w:p>
    <w:p w14:paraId="082A3A91">
      <w:pPr>
        <w:shd w:val="clear" w:color="auto" w:fill="auto"/>
        <w:spacing w:line="400" w:lineRule="exact"/>
        <w:ind w:firstLine="600"/>
        <w:rPr>
          <w:rFonts w:ascii="仿宋" w:hAnsi="仿宋" w:eastAsia="仿宋" w:cs="仿宋"/>
          <w:spacing w:val="-12"/>
          <w:sz w:val="24"/>
          <w:szCs w:val="24"/>
          <w:highlight w:val="none"/>
        </w:rPr>
      </w:pPr>
      <w:r>
        <w:rPr>
          <w:rFonts w:ascii="仿宋" w:hAnsi="仿宋" w:eastAsia="仿宋" w:cs="仿宋"/>
          <w:spacing w:val="-12"/>
          <w:sz w:val="24"/>
          <w:szCs w:val="24"/>
          <w:highlight w:val="none"/>
        </w:rPr>
        <w:t>（二）乙方的税务资质为：</w:t>
      </w:r>
    </w:p>
    <w:p w14:paraId="6A698D2A">
      <w:pPr>
        <w:pStyle w:val="2"/>
        <w:shd w:val="clear" w:color="auto" w:fill="auto"/>
        <w:ind w:firstLine="432" w:firstLineChars="200"/>
        <w:rPr>
          <w:rFonts w:hint="eastAsia" w:ascii="仿宋" w:hAnsi="仿宋" w:eastAsia="仿宋" w:cs="仿宋"/>
          <w:b w:val="0"/>
          <w:bCs w:val="0"/>
          <w:spacing w:val="-12"/>
          <w:sz w:val="24"/>
          <w:szCs w:val="24"/>
          <w:highlight w:val="none"/>
          <w:lang w:val="en-US" w:eastAsia="zh-CN"/>
        </w:rPr>
      </w:pPr>
      <w:r>
        <w:rPr>
          <w:rFonts w:hint="eastAsia" w:ascii="仿宋" w:hAnsi="仿宋" w:eastAsia="仿宋" w:cs="仿宋"/>
          <w:b w:val="0"/>
          <w:bCs w:val="0"/>
          <w:spacing w:val="-12"/>
          <w:sz w:val="24"/>
          <w:szCs w:val="24"/>
          <w:highlight w:val="none"/>
          <w:lang w:val="en-US" w:eastAsia="zh-CN"/>
        </w:rPr>
        <w:t>■增值税一般纳税人</w:t>
      </w:r>
    </w:p>
    <w:p w14:paraId="2246D45A">
      <w:pPr>
        <w:pStyle w:val="2"/>
        <w:shd w:val="clear" w:color="auto" w:fill="auto"/>
        <w:ind w:firstLine="432" w:firstLineChars="200"/>
        <w:rPr>
          <w:rFonts w:hint="eastAsia" w:ascii="仿宋" w:hAnsi="仿宋" w:eastAsia="仿宋" w:cs="仿宋"/>
          <w:b w:val="0"/>
          <w:bCs w:val="0"/>
          <w:spacing w:val="-12"/>
          <w:sz w:val="24"/>
          <w:szCs w:val="24"/>
          <w:highlight w:val="none"/>
          <w:lang w:val="en-US" w:eastAsia="zh-CN"/>
        </w:rPr>
      </w:pPr>
      <w:r>
        <w:rPr>
          <w:rFonts w:hint="eastAsia" w:ascii="仿宋" w:hAnsi="仿宋" w:eastAsia="仿宋" w:cs="仿宋"/>
          <w:b w:val="0"/>
          <w:bCs w:val="0"/>
          <w:spacing w:val="-12"/>
          <w:sz w:val="24"/>
          <w:szCs w:val="24"/>
          <w:highlight w:val="none"/>
          <w:lang w:val="en-US" w:eastAsia="zh-CN"/>
        </w:rPr>
        <w:t>□增值税小规模纳税人</w:t>
      </w:r>
    </w:p>
    <w:p w14:paraId="0E8DCF7D">
      <w:pPr>
        <w:pStyle w:val="2"/>
        <w:shd w:val="clear" w:color="auto" w:fill="auto"/>
        <w:ind w:firstLine="432" w:firstLineChars="200"/>
        <w:rPr>
          <w:rFonts w:hint="default"/>
          <w:lang w:val="en-US" w:eastAsia="zh-CN"/>
        </w:rPr>
      </w:pPr>
      <w:r>
        <w:rPr>
          <w:rFonts w:hint="eastAsia" w:ascii="仿宋" w:hAnsi="仿宋" w:eastAsia="仿宋" w:cs="仿宋"/>
          <w:b w:val="0"/>
          <w:bCs w:val="0"/>
          <w:spacing w:val="-12"/>
          <w:sz w:val="24"/>
          <w:szCs w:val="24"/>
          <w:highlight w:val="none"/>
          <w:lang w:val="en-US" w:eastAsia="zh-CN"/>
        </w:rPr>
        <w:t xml:space="preserve">□非增值税纳税人 </w:t>
      </w:r>
    </w:p>
    <w:p w14:paraId="6D3E5A9E">
      <w:pPr>
        <w:numPr>
          <w:ilvl w:val="0"/>
          <w:numId w:val="5"/>
        </w:numPr>
        <w:shd w:val="clear" w:color="auto" w:fill="auto"/>
        <w:spacing w:line="400" w:lineRule="exact"/>
        <w:ind w:left="1415" w:leftChars="0" w:hanging="855" w:firstLineChars="0"/>
        <w:rPr>
          <w:rFonts w:ascii="仿宋" w:hAnsi="仿宋" w:eastAsia="仿宋" w:cs="仿宋"/>
          <w:spacing w:val="-12"/>
          <w:sz w:val="24"/>
          <w:szCs w:val="24"/>
          <w:highlight w:val="none"/>
        </w:rPr>
      </w:pPr>
      <w:r>
        <w:rPr>
          <w:rFonts w:ascii="仿宋" w:hAnsi="仿宋" w:eastAsia="仿宋" w:cs="仿宋"/>
          <w:spacing w:val="-12"/>
          <w:sz w:val="24"/>
          <w:szCs w:val="24"/>
          <w:highlight w:val="none"/>
        </w:rPr>
        <w:t>乙方可以开具的发票类型为：</w:t>
      </w:r>
    </w:p>
    <w:p w14:paraId="53F6CE50">
      <w:pPr>
        <w:pStyle w:val="2"/>
        <w:numPr>
          <w:ilvl w:val="0"/>
          <w:numId w:val="0"/>
        </w:numPr>
        <w:shd w:val="clear" w:color="auto" w:fill="auto"/>
        <w:ind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■增值税专用发票</w:t>
      </w:r>
    </w:p>
    <w:p w14:paraId="1FFA01D6">
      <w:pPr>
        <w:pStyle w:val="2"/>
        <w:numPr>
          <w:ilvl w:val="0"/>
          <w:numId w:val="0"/>
        </w:numPr>
        <w:shd w:val="clear" w:color="auto" w:fill="auto"/>
        <w:ind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□增值税普通发票</w:t>
      </w:r>
    </w:p>
    <w:p w14:paraId="5A9E9418">
      <w:pPr>
        <w:pStyle w:val="2"/>
        <w:numPr>
          <w:ilvl w:val="0"/>
          <w:numId w:val="0"/>
        </w:numPr>
        <w:shd w:val="clear" w:color="auto" w:fill="auto"/>
        <w:ind w:firstLine="480" w:firstLineChars="200"/>
        <w:rPr>
          <w:rFonts w:hint="default"/>
          <w:b w:val="0"/>
          <w:bCs w:val="0"/>
          <w:lang w:val="en-US" w:eastAsia="zh-CN"/>
        </w:rPr>
      </w:pPr>
      <w:r>
        <w:rPr>
          <w:rFonts w:hint="eastAsia" w:ascii="仿宋" w:hAnsi="仿宋" w:eastAsia="仿宋" w:cs="仿宋"/>
          <w:b w:val="0"/>
          <w:bCs w:val="0"/>
          <w:sz w:val="24"/>
          <w:szCs w:val="24"/>
          <w:lang w:val="en-US" w:eastAsia="zh-CN"/>
        </w:rPr>
        <w:t>□非增值税发票</w:t>
      </w:r>
    </w:p>
    <w:p w14:paraId="276BA372">
      <w:pPr>
        <w:shd w:val="clear" w:color="auto" w:fill="auto"/>
        <w:spacing w:line="400" w:lineRule="exact"/>
        <w:ind w:firstLine="600"/>
        <w:rPr>
          <w:rFonts w:hint="default" w:ascii="仿宋" w:hAnsi="仿宋" w:eastAsia="仿宋" w:cs="仿宋"/>
          <w:spacing w:val="-12"/>
          <w:sz w:val="24"/>
          <w:szCs w:val="24"/>
          <w:highlight w:val="none"/>
        </w:rPr>
      </w:pPr>
      <w:r>
        <w:rPr>
          <w:rFonts w:ascii="仿宋" w:hAnsi="仿宋" w:eastAsia="仿宋" w:cs="仿宋"/>
          <w:spacing w:val="-12"/>
          <w:sz w:val="24"/>
          <w:szCs w:val="24"/>
          <w:highlight w:val="none"/>
        </w:rPr>
        <w:t>（四）乙方开具的增值税专用发票应当符合相关法律法规的要求，项目齐全，并加盖乙方发票专用章。开票金额须与本合同约定的支付金额一致，并注明不含税价款、适用税率、税额。</w:t>
      </w:r>
    </w:p>
    <w:p w14:paraId="23ABB23D">
      <w:pPr>
        <w:shd w:val="clear" w:color="auto" w:fill="auto"/>
        <w:spacing w:line="400" w:lineRule="exact"/>
        <w:ind w:firstLine="600"/>
        <w:rPr>
          <w:rFonts w:hint="default" w:ascii="仿宋" w:hAnsi="仿宋" w:eastAsia="仿宋" w:cs="仿宋"/>
          <w:spacing w:val="-12"/>
          <w:sz w:val="24"/>
          <w:szCs w:val="24"/>
          <w:highlight w:val="none"/>
        </w:rPr>
      </w:pPr>
      <w:r>
        <w:rPr>
          <w:rFonts w:ascii="仿宋" w:hAnsi="仿宋" w:eastAsia="仿宋" w:cs="仿宋"/>
          <w:spacing w:val="-12"/>
          <w:sz w:val="24"/>
          <w:szCs w:val="24"/>
          <w:highlight w:val="none"/>
        </w:rPr>
        <w:t>乙方应当在开具发票后10日内，指派专人或通过可靠的快递机构将发票送达至甲方，送达日期以甲方签收日期为准。</w:t>
      </w:r>
    </w:p>
    <w:p w14:paraId="43F4519E">
      <w:pPr>
        <w:shd w:val="clear" w:color="auto" w:fill="auto"/>
        <w:spacing w:line="400" w:lineRule="exact"/>
        <w:ind w:firstLine="600"/>
        <w:rPr>
          <w:rFonts w:ascii="仿宋" w:hAnsi="仿宋" w:eastAsia="仿宋" w:cs="仿宋"/>
          <w:spacing w:val="-12"/>
          <w:sz w:val="24"/>
          <w:szCs w:val="24"/>
          <w:highlight w:val="none"/>
        </w:rPr>
      </w:pPr>
      <w:r>
        <w:rPr>
          <w:rFonts w:ascii="仿宋" w:hAnsi="仿宋" w:eastAsia="仿宋" w:cs="仿宋"/>
          <w:spacing w:val="-12"/>
          <w:sz w:val="24"/>
          <w:szCs w:val="24"/>
          <w:highlight w:val="none"/>
        </w:rPr>
        <w:t>如乙方开具的发票有误或不符合本合同约定，甲方有权拒收。如乙方开具的增值税专用发票不能通过认证（因甲方自身原因未在规定时限内进行认证的除外），乙方应积极采取措施补救，开具红字发票并重新开具增值税专用发票。如经甲方催告后10个工作日内乙方未能补开增值税专用发票的，甲方有权拒绝支付</w:t>
      </w:r>
      <w:r>
        <w:rPr>
          <w:rFonts w:hint="eastAsia" w:ascii="仿宋" w:hAnsi="仿宋" w:eastAsia="仿宋" w:cs="仿宋"/>
          <w:spacing w:val="-12"/>
          <w:sz w:val="24"/>
          <w:szCs w:val="24"/>
          <w:highlight w:val="none"/>
          <w:lang w:eastAsia="zh-CN"/>
        </w:rPr>
        <w:t>。收到甲方拒绝支付通知后，乙方需提供加盖</w:t>
      </w:r>
      <w:r>
        <w:rPr>
          <w:rFonts w:hint="eastAsia" w:ascii="仿宋" w:hAnsi="仿宋" w:eastAsia="仿宋" w:cs="仿宋"/>
          <w:spacing w:val="-12"/>
          <w:sz w:val="24"/>
          <w:szCs w:val="24"/>
          <w:highlight w:val="none"/>
          <w:lang w:val="en-US" w:eastAsia="zh-CN"/>
        </w:rPr>
        <w:t>乙方公章的《放弃佣金声明》提供给甲方，甲方不再支付款项。</w:t>
      </w:r>
      <w:r>
        <w:rPr>
          <w:rFonts w:ascii="仿宋" w:hAnsi="仿宋" w:eastAsia="仿宋" w:cs="仿宋"/>
          <w:spacing w:val="-12"/>
          <w:sz w:val="24"/>
          <w:szCs w:val="24"/>
          <w:highlight w:val="none"/>
        </w:rPr>
        <w:t>由此造成的一切后果由乙方自行承担，如造成甲方损失，乙方应承担赔偿责任。</w:t>
      </w:r>
    </w:p>
    <w:p w14:paraId="5FC5693F">
      <w:pPr>
        <w:shd w:val="clear" w:color="auto" w:fill="auto"/>
        <w:spacing w:line="400" w:lineRule="exact"/>
        <w:ind w:firstLine="600"/>
        <w:rPr>
          <w:rFonts w:hint="default" w:ascii="仿宋" w:hAnsi="仿宋" w:eastAsia="仿宋" w:cs="仿宋"/>
          <w:spacing w:val="-12"/>
          <w:sz w:val="24"/>
          <w:szCs w:val="24"/>
          <w:highlight w:val="none"/>
        </w:rPr>
      </w:pPr>
    </w:p>
    <w:p w14:paraId="426FCFDC">
      <w:pPr>
        <w:shd w:val="clear" w:color="auto" w:fill="auto"/>
        <w:spacing w:line="400" w:lineRule="exact"/>
        <w:ind w:firstLine="600"/>
        <w:jc w:val="center"/>
        <w:rPr>
          <w:rFonts w:hint="default" w:ascii="仿宋" w:hAnsi="仿宋" w:eastAsia="仿宋" w:cs="仿宋"/>
          <w:b/>
          <w:spacing w:val="-12"/>
          <w:sz w:val="24"/>
          <w:szCs w:val="24"/>
          <w:highlight w:val="none"/>
        </w:rPr>
      </w:pPr>
      <w:r>
        <w:rPr>
          <w:rFonts w:hint="eastAsia" w:ascii="仿宋" w:hAnsi="仿宋" w:eastAsia="仿宋" w:cs="仿宋"/>
          <w:b/>
          <w:spacing w:val="-12"/>
          <w:sz w:val="24"/>
          <w:szCs w:val="24"/>
          <w:highlight w:val="none"/>
          <w:lang w:eastAsia="zh-CN"/>
        </w:rPr>
        <w:t>十一</w:t>
      </w:r>
      <w:r>
        <w:rPr>
          <w:rFonts w:ascii="仿宋" w:hAnsi="仿宋" w:eastAsia="仿宋" w:cs="仿宋"/>
          <w:b/>
          <w:spacing w:val="-12"/>
          <w:sz w:val="24"/>
          <w:szCs w:val="24"/>
          <w:highlight w:val="none"/>
        </w:rPr>
        <w:t>、反商业贿赂条款</w:t>
      </w:r>
    </w:p>
    <w:p w14:paraId="114D0600">
      <w:pPr>
        <w:shd w:val="clear" w:color="auto" w:fill="auto"/>
        <w:spacing w:line="400" w:lineRule="exact"/>
        <w:ind w:firstLine="600"/>
        <w:rPr>
          <w:rFonts w:hint="default" w:ascii="仿宋" w:hAnsi="仿宋" w:eastAsia="仿宋" w:cs="仿宋"/>
          <w:spacing w:val="-12"/>
          <w:sz w:val="24"/>
          <w:szCs w:val="24"/>
          <w:highlight w:val="none"/>
        </w:rPr>
      </w:pPr>
      <w:r>
        <w:rPr>
          <w:rFonts w:hint="eastAsia" w:ascii="仿宋" w:hAnsi="仿宋" w:eastAsia="仿宋" w:cs="仿宋"/>
          <w:spacing w:val="-12"/>
          <w:sz w:val="24"/>
          <w:szCs w:val="24"/>
          <w:highlight w:val="none"/>
          <w:lang w:eastAsia="zh-CN"/>
        </w:rPr>
        <w:t>（一）</w:t>
      </w:r>
      <w:r>
        <w:rPr>
          <w:rFonts w:ascii="仿宋" w:hAnsi="仿宋" w:eastAsia="仿宋" w:cs="仿宋"/>
          <w:spacing w:val="-12"/>
          <w:sz w:val="24"/>
          <w:szCs w:val="24"/>
          <w:highlight w:val="none"/>
        </w:rPr>
        <w:t>合同各方都清楚并愿意一致严格遵守中华人民共和国反贪污贿赂的法律规定。</w:t>
      </w:r>
    </w:p>
    <w:p w14:paraId="488F02BA">
      <w:pPr>
        <w:shd w:val="clear" w:color="auto" w:fill="auto"/>
        <w:spacing w:line="400" w:lineRule="exact"/>
        <w:ind w:firstLine="600"/>
        <w:rPr>
          <w:rFonts w:hint="default" w:ascii="仿宋" w:hAnsi="仿宋" w:eastAsia="仿宋" w:cs="仿宋"/>
          <w:spacing w:val="-12"/>
          <w:sz w:val="24"/>
          <w:szCs w:val="24"/>
          <w:highlight w:val="none"/>
        </w:rPr>
      </w:pPr>
      <w:r>
        <w:rPr>
          <w:rFonts w:hint="eastAsia" w:ascii="仿宋" w:hAnsi="仿宋" w:eastAsia="仿宋" w:cs="仿宋"/>
          <w:spacing w:val="-12"/>
          <w:sz w:val="24"/>
          <w:szCs w:val="24"/>
          <w:highlight w:val="none"/>
          <w:lang w:eastAsia="zh-CN"/>
        </w:rPr>
        <w:t>（二）</w:t>
      </w:r>
      <w:r>
        <w:rPr>
          <w:rFonts w:ascii="仿宋" w:hAnsi="仿宋" w:eastAsia="仿宋" w:cs="仿宋"/>
          <w:spacing w:val="-12"/>
          <w:sz w:val="24"/>
          <w:szCs w:val="24"/>
          <w:highlight w:val="none"/>
        </w:rPr>
        <w:t>如乙方或乙方经办人给予或承诺给予甲方主要负责人、经办人或其他相关人员协议约定外的包括但不限于回扣、好处费、现金、有价证券、购物卡、礼品、旅游等形式的不正当利益，一经发现，甲方有权解除协议且不承担任何责任；同时，乙方须向甲方支付</w:t>
      </w:r>
      <w:r>
        <w:rPr>
          <w:rFonts w:hint="eastAsia" w:ascii="仿宋" w:hAnsi="仿宋" w:eastAsia="仿宋" w:cs="仿宋"/>
          <w:spacing w:val="-12"/>
          <w:sz w:val="24"/>
          <w:szCs w:val="24"/>
          <w:highlight w:val="none"/>
          <w:lang w:val="en-US" w:eastAsia="zh-CN"/>
        </w:rPr>
        <w:t>5万元</w:t>
      </w:r>
      <w:r>
        <w:rPr>
          <w:rFonts w:ascii="仿宋" w:hAnsi="仿宋" w:eastAsia="仿宋" w:cs="仿宋"/>
          <w:spacing w:val="-12"/>
          <w:sz w:val="24"/>
          <w:szCs w:val="24"/>
          <w:highlight w:val="none"/>
        </w:rPr>
        <w:t>的违约金。</w:t>
      </w:r>
    </w:p>
    <w:p w14:paraId="17BC97D2">
      <w:pPr>
        <w:shd w:val="clear" w:color="auto" w:fill="auto"/>
        <w:spacing w:line="400" w:lineRule="exact"/>
        <w:ind w:firstLine="600"/>
        <w:rPr>
          <w:rFonts w:ascii="仿宋" w:hAnsi="仿宋" w:eastAsia="仿宋" w:cs="仿宋"/>
          <w:spacing w:val="-12"/>
          <w:sz w:val="24"/>
          <w:szCs w:val="24"/>
          <w:highlight w:val="none"/>
        </w:rPr>
      </w:pPr>
      <w:r>
        <w:rPr>
          <w:rFonts w:hint="eastAsia" w:ascii="仿宋" w:hAnsi="仿宋" w:eastAsia="仿宋" w:cs="仿宋"/>
          <w:spacing w:val="-12"/>
          <w:sz w:val="24"/>
          <w:szCs w:val="24"/>
          <w:highlight w:val="none"/>
          <w:lang w:eastAsia="zh-CN"/>
        </w:rPr>
        <w:t>（三）</w:t>
      </w:r>
      <w:r>
        <w:rPr>
          <w:rFonts w:ascii="仿宋" w:hAnsi="仿宋" w:eastAsia="仿宋" w:cs="仿宋"/>
          <w:spacing w:val="-12"/>
          <w:sz w:val="24"/>
          <w:szCs w:val="24"/>
          <w:highlight w:val="none"/>
        </w:rPr>
        <w:t>本条所称“其他相关人员”是指甲方经办人以外的与协议有直接或间接利益关系的人员，包括但不仅限于协议经办人的亲友。</w:t>
      </w:r>
    </w:p>
    <w:p w14:paraId="1619E1AC">
      <w:pPr>
        <w:shd w:val="clear" w:color="auto" w:fill="auto"/>
        <w:spacing w:line="400" w:lineRule="exact"/>
        <w:ind w:firstLine="600"/>
        <w:jc w:val="center"/>
        <w:rPr>
          <w:rFonts w:ascii="仿宋" w:hAnsi="仿宋" w:eastAsia="仿宋" w:cs="仿宋"/>
          <w:b/>
          <w:spacing w:val="-12"/>
          <w:sz w:val="24"/>
          <w:szCs w:val="24"/>
          <w:highlight w:val="none"/>
        </w:rPr>
      </w:pPr>
    </w:p>
    <w:p w14:paraId="6FEB5B31">
      <w:pPr>
        <w:keepNext w:val="0"/>
        <w:keepLines w:val="0"/>
        <w:widowControl/>
        <w:numPr>
          <w:ilvl w:val="1"/>
          <w:numId w:val="0"/>
        </w:numPr>
        <w:shd w:val="clear" w:color="auto" w:fill="auto"/>
        <w:spacing w:line="400" w:lineRule="exact"/>
        <w:ind w:left="0" w:leftChars="0" w:firstLine="600"/>
        <w:jc w:val="center"/>
        <w:outlineLvl w:val="9"/>
        <w:rPr>
          <w:rFonts w:hint="eastAsia"/>
          <w:lang w:val="en-US" w:eastAsia="zh-CN"/>
        </w:rPr>
      </w:pPr>
      <w:r>
        <w:rPr>
          <w:rFonts w:hint="eastAsia" w:ascii="仿宋" w:hAnsi="仿宋" w:eastAsia="仿宋" w:cs="仿宋"/>
          <w:b/>
          <w:bCs w:val="0"/>
          <w:spacing w:val="-12"/>
          <w:kern w:val="2"/>
          <w:sz w:val="24"/>
          <w:szCs w:val="24"/>
          <w:highlight w:val="none"/>
          <w:lang w:val="en-US" w:eastAsia="zh-CN" w:bidi="ar"/>
        </w:rPr>
        <w:t>十二、</w:t>
      </w:r>
      <w:r>
        <w:rPr>
          <w:rFonts w:hint="eastAsia" w:ascii="仿宋" w:hAnsi="仿宋" w:eastAsia="仿宋" w:cs="仿宋"/>
          <w:b/>
          <w:bCs w:val="0"/>
          <w:color w:val="000000"/>
          <w:spacing w:val="-12"/>
          <w:kern w:val="2"/>
          <w:sz w:val="24"/>
          <w:szCs w:val="24"/>
          <w:highlight w:val="none"/>
          <w:lang w:val="en-US" w:eastAsia="zh-CN" w:bidi="ar"/>
        </w:rPr>
        <w:t>反洗钱和反恐怖融资条款</w:t>
      </w:r>
    </w:p>
    <w:p w14:paraId="1992366B">
      <w:pPr>
        <w:pageBreakBefore w:val="0"/>
        <w:shd w:val="clear" w:color="auto" w:fill="auto"/>
        <w:tabs>
          <w:tab w:val="left" w:pos="900"/>
        </w:tabs>
        <w:kinsoku/>
        <w:wordWrap/>
        <w:overflowPunct/>
        <w:topLinePunct w:val="0"/>
        <w:bidi w:val="0"/>
        <w:spacing w:line="400" w:lineRule="exact"/>
        <w:ind w:right="0" w:rightChars="0" w:firstLine="480" w:firstLineChars="200"/>
        <w:textAlignment w:val="auto"/>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（一）甲乙双方均应根据《中华人民共和国反洗钱法》、</w:t>
      </w:r>
      <w:r>
        <w:rPr>
          <w:rFonts w:hint="eastAsia" w:ascii="仿宋" w:hAnsi="仿宋" w:eastAsia="仿宋" w:cs="仿宋"/>
          <w:color w:val="000000"/>
          <w:sz w:val="24"/>
          <w:szCs w:val="24"/>
        </w:rPr>
        <w:t>《中华人民共和国反恐怖主义法》</w:t>
      </w:r>
      <w:r>
        <w:rPr>
          <w:rFonts w:hint="eastAsia" w:ascii="仿宋" w:hAnsi="仿宋" w:eastAsia="仿宋" w:cs="仿宋"/>
          <w:color w:val="000000"/>
          <w:sz w:val="24"/>
          <w:szCs w:val="24"/>
          <w:lang w:val="en-US" w:eastAsia="zh-CN"/>
        </w:rPr>
        <w:t xml:space="preserve">等相关法律法规履行反洗钱和反恐怖融资（以下简称反洗钱）义务，根据本合同涉及的业务按照前述法律法规的要求建立健全并严格执行相对应的制度或措施，包括但不限于：客户身份识别制度、客户身份资料和交易记录保存制度、大额交易和可疑交易报告制度，实施反洗钱名单监控，开展反洗钱内部审计、培训和宣传等工作，并接受、配合监管部门开展的反洗钱调查和监督管理。 </w:t>
      </w:r>
    </w:p>
    <w:p w14:paraId="260D7DDE">
      <w:pPr>
        <w:pageBreakBefore w:val="0"/>
        <w:shd w:val="clear" w:color="auto" w:fill="auto"/>
        <w:tabs>
          <w:tab w:val="left" w:pos="900"/>
        </w:tabs>
        <w:kinsoku/>
        <w:wordWrap/>
        <w:overflowPunct/>
        <w:topLinePunct w:val="0"/>
        <w:bidi w:val="0"/>
        <w:spacing w:line="400" w:lineRule="exact"/>
        <w:ind w:right="0" w:rightChars="0" w:firstLine="480" w:firstLineChars="200"/>
        <w:textAlignment w:val="auto"/>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 xml:space="preserve">（二）甲乙双方均应为对方履行反洗钱义务提供必要的支持和协助，具体协助方式包括但不限于向对方提供开展反洗钱工作所必要的资料。 </w:t>
      </w:r>
    </w:p>
    <w:p w14:paraId="073EAEB8">
      <w:pPr>
        <w:pageBreakBefore w:val="0"/>
        <w:shd w:val="clear" w:color="auto" w:fill="auto"/>
        <w:tabs>
          <w:tab w:val="left" w:pos="900"/>
        </w:tabs>
        <w:kinsoku/>
        <w:wordWrap/>
        <w:overflowPunct/>
        <w:topLinePunct w:val="0"/>
        <w:bidi w:val="0"/>
        <w:spacing w:line="400" w:lineRule="exact"/>
        <w:ind w:right="0" w:rightChars="0"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三）甲乙双方均严格禁止任何洗钱和恐怖融资行为。如因任何一方存在洗钱和恐怖融资行为给对方或第三方造成损失的，由存在洗钱和恐怖融资行为的一方承担全部赔偿责任，并按照《中华人民共和国刑法》及其他法律规定将相关责任人交由司法机关追究相应的法律责任。 </w:t>
      </w:r>
    </w:p>
    <w:p w14:paraId="43C75BC3">
      <w:pPr>
        <w:shd w:val="clear" w:color="auto" w:fill="auto"/>
        <w:tabs>
          <w:tab w:val="left" w:pos="900"/>
        </w:tabs>
        <w:adjustRightInd/>
        <w:snapToGrid/>
        <w:spacing w:line="400" w:lineRule="exact"/>
        <w:ind w:firstLine="480" w:firstLineChars="200"/>
        <w:rPr>
          <w:rFonts w:ascii="仿宋" w:hAnsi="仿宋" w:eastAsia="仿宋" w:cs="仿宋"/>
          <w:sz w:val="24"/>
        </w:rPr>
      </w:pPr>
      <w:r>
        <w:rPr>
          <w:rFonts w:hint="eastAsia" w:ascii="仿宋" w:hAnsi="仿宋" w:eastAsia="仿宋" w:cs="仿宋"/>
          <w:color w:val="000000"/>
          <w:sz w:val="24"/>
          <w:szCs w:val="24"/>
          <w:lang w:val="en-US" w:eastAsia="zh-CN"/>
        </w:rPr>
        <w:t>（四）乙方如未按照前述规定履行反洗钱义务，甲方有权单方解除本协议，并要求乙方赔偿由此给甲方造成的一切损失。</w:t>
      </w:r>
    </w:p>
    <w:p w14:paraId="0C3C0E27">
      <w:pPr>
        <w:shd w:val="clear" w:color="auto" w:fill="auto"/>
      </w:pPr>
    </w:p>
    <w:p w14:paraId="2813D29B">
      <w:pPr>
        <w:pStyle w:val="4"/>
        <w:shd w:val="clear" w:color="auto" w:fill="auto"/>
        <w:rPr>
          <w:rFonts w:hint="default"/>
        </w:rPr>
      </w:pPr>
    </w:p>
    <w:p w14:paraId="140142F4">
      <w:pPr>
        <w:numPr>
          <w:ilvl w:val="0"/>
          <w:numId w:val="0"/>
        </w:numPr>
        <w:shd w:val="clear" w:color="auto" w:fill="auto"/>
        <w:snapToGrid w:val="0"/>
        <w:spacing w:line="400" w:lineRule="exact"/>
        <w:contextualSpacing/>
        <w:jc w:val="center"/>
        <w:rPr>
          <w:rFonts w:hint="eastAsia" w:ascii="仿宋" w:hAnsi="仿宋" w:eastAsia="仿宋" w:cs="仿宋"/>
          <w:b/>
          <w:bCs/>
          <w:spacing w:val="-12"/>
          <w:sz w:val="24"/>
          <w:szCs w:val="24"/>
          <w:highlight w:val="none"/>
        </w:rPr>
      </w:pPr>
      <w:r>
        <w:rPr>
          <w:rFonts w:hint="eastAsia" w:ascii="仿宋" w:hAnsi="仿宋" w:eastAsia="仿宋" w:cs="仿宋"/>
          <w:b/>
          <w:bCs/>
          <w:spacing w:val="-12"/>
          <w:sz w:val="24"/>
          <w:szCs w:val="24"/>
          <w:highlight w:val="none"/>
          <w:lang w:eastAsia="zh-CN"/>
        </w:rPr>
        <w:t>十三</w:t>
      </w:r>
      <w:r>
        <w:rPr>
          <w:rFonts w:ascii="仿宋" w:hAnsi="仿宋" w:eastAsia="仿宋" w:cs="仿宋"/>
          <w:b/>
          <w:bCs/>
          <w:spacing w:val="-12"/>
          <w:sz w:val="24"/>
          <w:szCs w:val="24"/>
          <w:highlight w:val="none"/>
        </w:rPr>
        <w:t>、</w:t>
      </w:r>
      <w:r>
        <w:rPr>
          <w:rFonts w:hint="eastAsia" w:ascii="仿宋" w:hAnsi="仿宋" w:eastAsia="仿宋" w:cs="仿宋"/>
          <w:b/>
          <w:bCs/>
          <w:spacing w:val="-12"/>
          <w:sz w:val="24"/>
          <w:szCs w:val="24"/>
          <w:highlight w:val="none"/>
        </w:rPr>
        <w:t>外包风险管理要求条款</w:t>
      </w:r>
    </w:p>
    <w:p w14:paraId="2E76104F">
      <w:pPr>
        <w:numPr>
          <w:ilvl w:val="0"/>
          <w:numId w:val="0"/>
        </w:numPr>
        <w:shd w:val="clear" w:color="auto" w:fill="auto"/>
        <w:spacing w:line="360" w:lineRule="auto"/>
        <w:ind w:left="0" w:firstLine="432" w:firstLineChars="200"/>
        <w:rPr>
          <w:rFonts w:ascii="仿宋_GB2312" w:hAnsi="仿宋_GB2312" w:eastAsia="仿宋_GB2312"/>
          <w:b w:val="0"/>
          <w:bCs w:val="0"/>
          <w:color w:val="000000"/>
          <w:sz w:val="24"/>
          <w:highlight w:val="none"/>
        </w:rPr>
      </w:pPr>
      <w:r>
        <w:rPr>
          <w:rFonts w:hint="eastAsia" w:ascii="仿宋" w:hAnsi="仿宋" w:eastAsia="仿宋" w:cs="仿宋"/>
          <w:b w:val="0"/>
          <w:bCs w:val="0"/>
          <w:spacing w:val="-12"/>
          <w:sz w:val="24"/>
          <w:szCs w:val="24"/>
          <w:highlight w:val="none"/>
          <w:lang w:eastAsia="zh-CN"/>
        </w:rPr>
        <w:t>（一）</w:t>
      </w:r>
      <w:r>
        <w:rPr>
          <w:rFonts w:hint="eastAsia" w:ascii="仿宋_GB2312" w:hAnsi="仿宋_GB2312" w:eastAsia="仿宋_GB2312"/>
          <w:b w:val="0"/>
          <w:bCs w:val="0"/>
          <w:color w:val="000000"/>
          <w:sz w:val="24"/>
          <w:highlight w:val="none"/>
        </w:rPr>
        <w:t>合规与内控要求</w:t>
      </w:r>
    </w:p>
    <w:p w14:paraId="7132AB5E">
      <w:pPr>
        <w:shd w:val="clear" w:color="auto" w:fill="auto"/>
        <w:spacing w:line="360" w:lineRule="auto"/>
        <w:ind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乙方应具备完善的内部控制体系，遵守银行业相关法律法规及甲方内部针对外包的相关管理要求</w:t>
      </w:r>
      <w:r>
        <w:rPr>
          <w:rFonts w:hint="eastAsia" w:ascii="仿宋" w:hAnsi="仿宋" w:eastAsia="仿宋" w:cs="仿宋"/>
          <w:color w:val="000000"/>
          <w:sz w:val="24"/>
          <w:szCs w:val="24"/>
          <w:highlight w:val="none"/>
          <w:lang w:eastAsia="zh-CN"/>
        </w:rPr>
        <w:t>和</w:t>
      </w:r>
      <w:r>
        <w:rPr>
          <w:rFonts w:hint="eastAsia" w:ascii="仿宋" w:hAnsi="仿宋" w:eastAsia="仿宋" w:cs="仿宋"/>
          <w:i w:val="0"/>
          <w:iCs w:val="0"/>
          <w:caps w:val="0"/>
          <w:color w:val="000000"/>
          <w:spacing w:val="0"/>
          <w:sz w:val="24"/>
          <w:szCs w:val="24"/>
          <w:highlight w:val="none"/>
          <w:shd w:val="clear" w:color="auto" w:fill="auto"/>
        </w:rPr>
        <w:t>监管政策的通报贯彻机制</w:t>
      </w:r>
      <w:r>
        <w:rPr>
          <w:rFonts w:hint="eastAsia" w:ascii="仿宋" w:hAnsi="仿宋" w:eastAsia="仿宋" w:cs="仿宋"/>
          <w:i w:val="0"/>
          <w:iCs w:val="0"/>
          <w:caps w:val="0"/>
          <w:color w:val="000000"/>
          <w:spacing w:val="0"/>
          <w:sz w:val="24"/>
          <w:szCs w:val="24"/>
          <w:highlight w:val="none"/>
          <w:shd w:val="clear" w:color="auto" w:fill="auto"/>
          <w:lang w:eastAsia="zh-CN"/>
        </w:rPr>
        <w:t>。</w:t>
      </w:r>
    </w:p>
    <w:p w14:paraId="0B6B7881">
      <w:pPr>
        <w:numPr>
          <w:ilvl w:val="0"/>
          <w:numId w:val="0"/>
        </w:numPr>
        <w:shd w:val="clear" w:color="auto" w:fill="auto"/>
        <w:spacing w:line="360" w:lineRule="auto"/>
        <w:ind w:left="0" w:firstLine="432" w:firstLineChars="200"/>
        <w:rPr>
          <w:rFonts w:ascii="仿宋_GB2312" w:hAnsi="仿宋_GB2312" w:eastAsia="仿宋_GB2312"/>
          <w:b w:val="0"/>
          <w:bCs w:val="0"/>
          <w:color w:val="000000"/>
          <w:sz w:val="24"/>
          <w:highlight w:val="none"/>
        </w:rPr>
      </w:pPr>
      <w:r>
        <w:rPr>
          <w:rFonts w:hint="eastAsia" w:ascii="仿宋" w:hAnsi="仿宋" w:eastAsia="仿宋" w:cs="仿宋"/>
          <w:b w:val="0"/>
          <w:bCs w:val="0"/>
          <w:spacing w:val="-12"/>
          <w:sz w:val="24"/>
          <w:szCs w:val="24"/>
          <w:highlight w:val="none"/>
          <w:lang w:eastAsia="zh-CN"/>
        </w:rPr>
        <w:t>（二）</w:t>
      </w:r>
      <w:r>
        <w:rPr>
          <w:rFonts w:hint="eastAsia" w:ascii="仿宋_GB2312" w:hAnsi="仿宋_GB2312" w:eastAsia="仿宋_GB2312"/>
          <w:b w:val="0"/>
          <w:bCs w:val="0"/>
          <w:color w:val="000000"/>
          <w:sz w:val="24"/>
          <w:highlight w:val="none"/>
        </w:rPr>
        <w:t>服务连续性要求</w:t>
      </w:r>
    </w:p>
    <w:p w14:paraId="6E60755D">
      <w:pPr>
        <w:numPr>
          <w:ilvl w:val="0"/>
          <w:numId w:val="0"/>
        </w:numPr>
        <w:shd w:val="clear" w:color="auto" w:fill="auto"/>
        <w:spacing w:line="360" w:lineRule="auto"/>
        <w:ind w:left="0" w:firstLine="240" w:firstLineChars="1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乙方需建立完善的业务连续性管理制度，保障业务持续稳定运行。</w:t>
      </w:r>
    </w:p>
    <w:p w14:paraId="030DCBAA">
      <w:pPr>
        <w:pStyle w:val="2"/>
        <w:shd w:val="clear" w:color="auto" w:fill="auto"/>
        <w:rPr>
          <w:rFonts w:hint="default" w:eastAsia="仿宋"/>
          <w:lang w:val="en-US" w:eastAsia="zh-CN"/>
        </w:rPr>
      </w:pP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b w:val="0"/>
          <w:bCs w:val="0"/>
          <w:color w:val="000000"/>
          <w:sz w:val="24"/>
          <w:szCs w:val="24"/>
          <w:highlight w:val="none"/>
          <w:lang w:val="en-US" w:eastAsia="zh-CN"/>
        </w:rPr>
        <w:t>2、乙方应急联系人为：    ，联系电话为：   ，应急联系人名单发生变化时乙方须提前3个工作日书面通知甲方。</w:t>
      </w:r>
    </w:p>
    <w:p w14:paraId="1062D58F">
      <w:pPr>
        <w:numPr>
          <w:ilvl w:val="0"/>
          <w:numId w:val="0"/>
        </w:numPr>
        <w:shd w:val="clear" w:color="auto" w:fill="auto"/>
        <w:spacing w:line="360" w:lineRule="auto"/>
        <w:ind w:left="0" w:firstLine="240" w:firstLineChars="100"/>
        <w:rPr>
          <w:rFonts w:ascii="仿宋_GB2312" w:hAnsi="仿宋_GB2312" w:eastAsia="仿宋_GB2312"/>
          <w:b w:val="0"/>
          <w:bCs/>
          <w:color w:val="000000"/>
          <w:sz w:val="24"/>
          <w:highlight w:val="none"/>
        </w:rPr>
      </w:pPr>
      <w:r>
        <w:rPr>
          <w:rFonts w:hint="eastAsia" w:ascii="仿宋" w:hAnsi="仿宋" w:eastAsia="仿宋" w:cs="仿宋"/>
          <w:color w:val="000000"/>
          <w:sz w:val="24"/>
          <w:szCs w:val="24"/>
          <w:highlight w:val="none"/>
          <w:lang w:val="en-US" w:eastAsia="zh-CN"/>
        </w:rPr>
        <w:t xml:space="preserve"> </w:t>
      </w:r>
      <w:r>
        <w:rPr>
          <w:rFonts w:hint="eastAsia" w:ascii="仿宋_GB2312" w:hAnsi="仿宋_GB2312" w:eastAsia="仿宋_GB2312"/>
          <w:b w:val="0"/>
          <w:bCs/>
          <w:color w:val="000000"/>
          <w:sz w:val="24"/>
          <w:highlight w:val="none"/>
          <w:lang w:eastAsia="zh-CN"/>
        </w:rPr>
        <w:t>（三）</w:t>
      </w:r>
      <w:r>
        <w:rPr>
          <w:rFonts w:hint="eastAsia" w:ascii="仿宋_GB2312" w:hAnsi="仿宋_GB2312" w:eastAsia="仿宋_GB2312"/>
          <w:b w:val="0"/>
          <w:bCs/>
          <w:color w:val="000000"/>
          <w:sz w:val="24"/>
          <w:highlight w:val="none"/>
        </w:rPr>
        <w:t>安全性及保密性要求</w:t>
      </w:r>
    </w:p>
    <w:p w14:paraId="3450AF2B">
      <w:pPr>
        <w:numPr>
          <w:ilvl w:val="0"/>
          <w:numId w:val="0"/>
        </w:numPr>
        <w:shd w:val="clear" w:color="auto" w:fill="auto"/>
        <w:tabs>
          <w:tab w:val="left" w:pos="425"/>
        </w:tabs>
        <w:spacing w:beforeLines="0" w:afterLines="0" w:line="360" w:lineRule="auto"/>
        <w:ind w:firstLine="240" w:firstLineChars="1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乙方不得在协议允许范围外使用或者披露甲方的信息。</w:t>
      </w:r>
      <w:r>
        <w:rPr>
          <w:rFonts w:hint="eastAsia" w:ascii="仿宋" w:hAnsi="仿宋" w:eastAsia="仿宋" w:cs="仿宋"/>
          <w:color w:val="000000"/>
          <w:sz w:val="24"/>
          <w:szCs w:val="24"/>
          <w:highlight w:val="none"/>
          <w:lang w:eastAsia="zh-CN"/>
        </w:rPr>
        <w:t>不得</w:t>
      </w:r>
      <w:r>
        <w:rPr>
          <w:rFonts w:hint="eastAsia" w:ascii="仿宋" w:hAnsi="仿宋" w:eastAsia="仿宋" w:cs="仿宋"/>
          <w:color w:val="000000"/>
          <w:sz w:val="24"/>
          <w:szCs w:val="24"/>
          <w:highlight w:val="none"/>
        </w:rPr>
        <w:t>将</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数据以任何形式转移、挪用或谋取外包合同约定以外的利益。</w:t>
      </w:r>
    </w:p>
    <w:p w14:paraId="43A0AC2D">
      <w:pPr>
        <w:numPr>
          <w:ilvl w:val="0"/>
          <w:numId w:val="0"/>
        </w:numPr>
        <w:shd w:val="clear" w:color="auto" w:fill="auto"/>
        <w:spacing w:line="360" w:lineRule="auto"/>
        <w:ind w:left="0" w:firstLine="240" w:firstLineChars="1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乙方不得以甲方名义开展活动。</w:t>
      </w:r>
    </w:p>
    <w:p w14:paraId="3BEB9F60">
      <w:pPr>
        <w:numPr>
          <w:ilvl w:val="0"/>
          <w:numId w:val="0"/>
        </w:numPr>
        <w:shd w:val="clear" w:color="auto" w:fill="auto"/>
        <w:spacing w:line="360" w:lineRule="auto"/>
        <w:ind w:left="0" w:firstLine="240" w:firstLineChars="1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乙方需与其所有可能接触或知悉本项目任何信息的人员（包括其员工、临时工等在内的相关人员）签署保密协议。</w:t>
      </w:r>
    </w:p>
    <w:p w14:paraId="16161C9C">
      <w:pPr>
        <w:numPr>
          <w:ilvl w:val="0"/>
          <w:numId w:val="0"/>
        </w:numPr>
        <w:shd w:val="clear" w:color="auto" w:fill="auto"/>
        <w:spacing w:line="360" w:lineRule="auto"/>
        <w:ind w:left="0" w:firstLine="480" w:firstLineChars="200"/>
        <w:rPr>
          <w:rFonts w:ascii="仿宋_GB2312" w:hAnsi="仿宋_GB2312" w:eastAsia="仿宋_GB2312"/>
          <w:b w:val="0"/>
          <w:bCs/>
          <w:color w:val="000000"/>
          <w:sz w:val="24"/>
          <w:highlight w:val="none"/>
        </w:rPr>
      </w:pPr>
      <w:r>
        <w:rPr>
          <w:rFonts w:hint="eastAsia" w:ascii="仿宋_GB2312" w:hAnsi="仿宋_GB2312" w:eastAsia="仿宋_GB2312"/>
          <w:b w:val="0"/>
          <w:bCs/>
          <w:color w:val="000000"/>
          <w:sz w:val="24"/>
          <w:highlight w:val="none"/>
          <w:lang w:eastAsia="zh-CN"/>
        </w:rPr>
        <w:t>（四）</w:t>
      </w:r>
      <w:r>
        <w:rPr>
          <w:rFonts w:hint="eastAsia" w:ascii="仿宋_GB2312" w:hAnsi="仿宋_GB2312" w:eastAsia="仿宋_GB2312"/>
          <w:b w:val="0"/>
          <w:bCs/>
          <w:color w:val="000000"/>
          <w:sz w:val="24"/>
          <w:highlight w:val="none"/>
        </w:rPr>
        <w:t>服务变更管理要求</w:t>
      </w:r>
    </w:p>
    <w:p w14:paraId="19D56624">
      <w:pPr>
        <w:shd w:val="clear" w:color="auto" w:fill="auto"/>
        <w:spacing w:line="360" w:lineRule="auto"/>
        <w:ind w:left="0"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因政策或环境变化因素</w:t>
      </w:r>
      <w:r>
        <w:rPr>
          <w:rFonts w:hint="eastAsia" w:ascii="仿宋" w:hAnsi="仿宋" w:eastAsia="仿宋" w:cs="仿宋"/>
          <w:color w:val="000000"/>
          <w:sz w:val="24"/>
          <w:szCs w:val="24"/>
          <w:highlight w:val="none"/>
          <w:lang w:eastAsia="zh-CN"/>
        </w:rPr>
        <w:t>、外包商重大变更事项</w:t>
      </w:r>
      <w:r>
        <w:rPr>
          <w:rFonts w:hint="eastAsia" w:ascii="仿宋" w:hAnsi="仿宋" w:eastAsia="仿宋" w:cs="仿宋"/>
          <w:color w:val="000000"/>
          <w:sz w:val="24"/>
          <w:szCs w:val="24"/>
          <w:highlight w:val="none"/>
        </w:rPr>
        <w:t>等在内的合同变更或终止</w:t>
      </w:r>
      <w:r>
        <w:rPr>
          <w:rFonts w:hint="eastAsia" w:ascii="仿宋" w:hAnsi="仿宋" w:eastAsia="仿宋" w:cs="仿宋"/>
          <w:color w:val="000000"/>
          <w:sz w:val="24"/>
          <w:szCs w:val="24"/>
          <w:highlight w:val="none"/>
          <w:lang w:eastAsia="zh-CN"/>
        </w:rPr>
        <w:t>条款</w:t>
      </w:r>
      <w:r>
        <w:rPr>
          <w:rFonts w:hint="eastAsia" w:ascii="仿宋" w:hAnsi="仿宋" w:eastAsia="仿宋" w:cs="仿宋"/>
          <w:color w:val="000000"/>
          <w:sz w:val="24"/>
          <w:szCs w:val="24"/>
          <w:highlight w:val="none"/>
        </w:rPr>
        <w:t>触发条件，乙方在过渡期间应继续履行协议的主要职责及协议变更或终止的过渡安排，包括信息、资料和设施的交接处置等</w:t>
      </w:r>
      <w:r>
        <w:rPr>
          <w:rFonts w:hint="eastAsia" w:ascii="仿宋" w:hAnsi="仿宋" w:eastAsia="仿宋" w:cs="仿宋"/>
          <w:color w:val="000000"/>
          <w:sz w:val="24"/>
          <w:szCs w:val="24"/>
          <w:highlight w:val="none"/>
          <w:lang w:eastAsia="zh-CN"/>
        </w:rPr>
        <w:t>，并保证在服务中断后甲方获取资源的优先权。</w:t>
      </w:r>
    </w:p>
    <w:p w14:paraId="6310996D">
      <w:pPr>
        <w:shd w:val="clear" w:color="auto" w:fill="auto"/>
        <w:spacing w:line="360" w:lineRule="auto"/>
        <w:ind w:left="0" w:firstLine="480" w:firstLineChars="20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当乙方无法继续履行合同约定内容或合同异常终止，在服务终止前的乙方须按照以下措施进行过渡安排或业务交接，若因乙方未进行过渡安排或业务交接导致的甲方损失由乙方承担：</w:t>
      </w:r>
    </w:p>
    <w:p w14:paraId="68564B62">
      <w:pPr>
        <w:shd w:val="clear" w:color="auto" w:fill="auto"/>
        <w:spacing w:line="360" w:lineRule="auto"/>
        <w:ind w:left="0" w:firstLine="480" w:firstLineChars="200"/>
        <w:rPr>
          <w:rFonts w:hint="eastAsia" w:ascii="仿宋" w:hAnsi="仿宋" w:eastAsia="仿宋" w:cs="仿宋"/>
          <w:color w:val="000000"/>
          <w:sz w:val="24"/>
          <w:szCs w:val="24"/>
          <w:highlight w:val="none"/>
          <w:u w:val="none"/>
          <w:lang w:val="en-US" w:eastAsia="zh-CN"/>
        </w:rPr>
      </w:pPr>
      <w:r>
        <w:rPr>
          <w:rFonts w:hint="eastAsia" w:ascii="仿宋" w:hAnsi="仿宋" w:eastAsia="仿宋" w:cs="仿宋"/>
          <w:color w:val="000000"/>
          <w:sz w:val="24"/>
          <w:szCs w:val="24"/>
          <w:highlight w:val="none"/>
          <w:u w:val="none"/>
          <w:lang w:val="en-US" w:eastAsia="zh-CN"/>
        </w:rPr>
        <w:t>1、跟进已诉讼案件未完结司法程序 ，并将原件、法律文书等材料交接至甲方；</w:t>
      </w:r>
    </w:p>
    <w:p w14:paraId="17FC08BD">
      <w:pPr>
        <w:shd w:val="clear" w:color="auto" w:fill="auto"/>
        <w:spacing w:line="360" w:lineRule="auto"/>
        <w:ind w:left="0" w:firstLine="480" w:firstLineChars="200"/>
        <w:rPr>
          <w:rFonts w:ascii="仿宋_GB2312" w:hAnsi="仿宋_GB2312" w:eastAsia="仿宋_GB2312"/>
          <w:color w:val="000000"/>
          <w:szCs w:val="21"/>
          <w:highlight w:val="none"/>
        </w:rPr>
      </w:pPr>
      <w:r>
        <w:rPr>
          <w:rFonts w:hint="eastAsia" w:ascii="仿宋" w:hAnsi="仿宋" w:eastAsia="仿宋" w:cs="仿宋"/>
          <w:color w:val="000000"/>
          <w:sz w:val="24"/>
          <w:szCs w:val="24"/>
          <w:highlight w:val="none"/>
          <w:lang w:val="en-US" w:eastAsia="zh-CN"/>
        </w:rPr>
        <w:t>2、其他甲方要求配合的与原代理案件相关的事宜。</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Cs w:val="21"/>
          <w:highlight w:val="none"/>
          <w:u w:val="single"/>
          <w:lang w:val="en-US" w:eastAsia="zh-CN"/>
        </w:rPr>
        <w:t xml:space="preserve">   </w:t>
      </w:r>
      <w:r>
        <w:rPr>
          <w:rFonts w:hint="eastAsia" w:ascii="仿宋_GB2312" w:hAnsi="仿宋_GB2312" w:eastAsia="仿宋_GB2312"/>
          <w:color w:val="000000"/>
          <w:szCs w:val="21"/>
          <w:highlight w:val="none"/>
          <w:u w:val="single"/>
          <w:lang w:val="en-US" w:eastAsia="zh-CN"/>
        </w:rPr>
        <w:t xml:space="preserve">                                                  </w:t>
      </w:r>
    </w:p>
    <w:p w14:paraId="32E39141">
      <w:pPr>
        <w:numPr>
          <w:ilvl w:val="0"/>
          <w:numId w:val="0"/>
        </w:numPr>
        <w:shd w:val="clear" w:color="auto" w:fill="auto"/>
        <w:spacing w:line="360" w:lineRule="auto"/>
        <w:ind w:left="0" w:firstLine="480" w:firstLineChars="200"/>
        <w:rPr>
          <w:rFonts w:ascii="仿宋_GB2312" w:hAnsi="仿宋_GB2312" w:eastAsia="仿宋_GB2312"/>
          <w:b w:val="0"/>
          <w:bCs/>
          <w:color w:val="000000"/>
          <w:sz w:val="24"/>
          <w:highlight w:val="none"/>
        </w:rPr>
      </w:pPr>
      <w:r>
        <w:rPr>
          <w:rFonts w:hint="eastAsia" w:ascii="仿宋_GB2312" w:hAnsi="仿宋_GB2312" w:eastAsia="仿宋_GB2312"/>
          <w:b w:val="0"/>
          <w:bCs/>
          <w:color w:val="000000"/>
          <w:sz w:val="24"/>
          <w:highlight w:val="none"/>
          <w:lang w:eastAsia="zh-CN"/>
        </w:rPr>
        <w:t>（五）</w:t>
      </w:r>
      <w:r>
        <w:rPr>
          <w:rFonts w:hint="eastAsia" w:ascii="仿宋_GB2312" w:hAnsi="仿宋_GB2312" w:eastAsia="仿宋_GB2312"/>
          <w:b w:val="0"/>
          <w:bCs/>
          <w:color w:val="000000"/>
          <w:sz w:val="24"/>
          <w:highlight w:val="none"/>
        </w:rPr>
        <w:t>知识产权要求</w:t>
      </w:r>
    </w:p>
    <w:p w14:paraId="3C73D8EF">
      <w:pPr>
        <w:numPr>
          <w:ilvl w:val="0"/>
          <w:numId w:val="0"/>
        </w:numPr>
        <w:shd w:val="clear" w:color="auto" w:fill="auto"/>
        <w:spacing w:line="360" w:lineRule="auto"/>
        <w:ind w:lef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乙方应使用具有合法版权的软、硬件产品为甲方提供服务。</w:t>
      </w:r>
    </w:p>
    <w:p w14:paraId="519B2B80">
      <w:pPr>
        <w:numPr>
          <w:ilvl w:val="0"/>
          <w:numId w:val="0"/>
        </w:numPr>
        <w:shd w:val="clear" w:color="auto" w:fill="auto"/>
        <w:spacing w:line="360" w:lineRule="auto"/>
        <w:ind w:lef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本外包服务过程产生的信息和知识产权归属甲方所有。</w:t>
      </w:r>
    </w:p>
    <w:p w14:paraId="123C03B6">
      <w:pPr>
        <w:numPr>
          <w:ilvl w:val="0"/>
          <w:numId w:val="0"/>
        </w:numPr>
        <w:shd w:val="clear" w:color="auto" w:fill="auto"/>
        <w:spacing w:line="360" w:lineRule="auto"/>
        <w:ind w:left="0" w:firstLine="480" w:firstLineChars="200"/>
        <w:rPr>
          <w:rFonts w:hint="eastAsia" w:ascii="仿宋_GB2312" w:hAnsi="仿宋_GB2312" w:eastAsia="仿宋_GB2312"/>
          <w:bCs/>
          <w:color w:val="000000"/>
          <w:szCs w:val="21"/>
          <w:highlight w:val="none"/>
        </w:rPr>
      </w:pPr>
      <w:r>
        <w:rPr>
          <w:rFonts w:hint="eastAsia" w:ascii="仿宋_GB2312" w:hAnsi="仿宋_GB2312" w:eastAsia="仿宋_GB2312"/>
          <w:b w:val="0"/>
          <w:bCs/>
          <w:color w:val="000000"/>
          <w:sz w:val="24"/>
          <w:highlight w:val="none"/>
          <w:lang w:eastAsia="zh-CN"/>
        </w:rPr>
        <w:t>（六）</w:t>
      </w:r>
      <w:r>
        <w:rPr>
          <w:rFonts w:hint="eastAsia" w:ascii="仿宋_GB2312" w:hAnsi="仿宋_GB2312" w:eastAsia="仿宋_GB2312"/>
          <w:b w:val="0"/>
          <w:bCs/>
          <w:color w:val="000000"/>
          <w:sz w:val="24"/>
          <w:highlight w:val="none"/>
        </w:rPr>
        <w:t>审计和检查要求</w:t>
      </w:r>
    </w:p>
    <w:p w14:paraId="7FA8703E">
      <w:pPr>
        <w:numPr>
          <w:ilvl w:val="0"/>
          <w:numId w:val="8"/>
        </w:numPr>
        <w:shd w:val="clear" w:color="auto" w:fill="auto"/>
        <w:tabs>
          <w:tab w:val="left" w:pos="425"/>
        </w:tabs>
        <w:spacing w:beforeLines="0" w:afterLines="0" w:line="400" w:lineRule="exact"/>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甲方有权对乙方业务开展、合同执行、安全管理等方面进行定期或不定期的</w:t>
      </w:r>
      <w:r>
        <w:rPr>
          <w:rFonts w:hint="eastAsia" w:ascii="仿宋" w:hAnsi="仿宋" w:eastAsia="仿宋" w:cs="仿宋"/>
          <w:color w:val="000000"/>
          <w:sz w:val="24"/>
          <w:szCs w:val="24"/>
          <w:highlight w:val="none"/>
        </w:rPr>
        <w:t>风险评估、监测、检查和审计</w:t>
      </w:r>
      <w:r>
        <w:rPr>
          <w:rFonts w:hint="eastAsia" w:ascii="仿宋" w:hAnsi="仿宋" w:eastAsia="仿宋" w:cs="仿宋"/>
          <w:color w:val="auto"/>
          <w:sz w:val="24"/>
          <w:szCs w:val="24"/>
          <w:highlight w:val="none"/>
        </w:rPr>
        <w:t>，乙方有义务配合甲方进行检查或审计的义务。</w:t>
      </w:r>
    </w:p>
    <w:p w14:paraId="2DEB5B01">
      <w:pPr>
        <w:numPr>
          <w:ilvl w:val="0"/>
          <w:numId w:val="8"/>
        </w:numPr>
        <w:shd w:val="clear" w:color="auto" w:fill="auto"/>
        <w:tabs>
          <w:tab w:val="left" w:pos="425"/>
        </w:tabs>
        <w:spacing w:beforeLines="0" w:afterLines="0" w:line="400" w:lineRule="exact"/>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乙方有义务配合甲方接受银行业监督管理机构的检查</w:t>
      </w:r>
      <w:r>
        <w:rPr>
          <w:rFonts w:hint="eastAsia" w:ascii="仿宋" w:hAnsi="仿宋" w:eastAsia="仿宋" w:cs="仿宋"/>
          <w:color w:val="auto"/>
          <w:sz w:val="24"/>
          <w:szCs w:val="24"/>
          <w:highlight w:val="none"/>
          <w:lang w:eastAsia="zh-CN"/>
        </w:rPr>
        <w:t>。</w:t>
      </w:r>
    </w:p>
    <w:p w14:paraId="45BFD050">
      <w:pPr>
        <w:numPr>
          <w:ilvl w:val="0"/>
          <w:numId w:val="8"/>
        </w:numPr>
        <w:shd w:val="clear" w:color="auto" w:fill="auto"/>
        <w:tabs>
          <w:tab w:val="left" w:pos="425"/>
        </w:tabs>
        <w:spacing w:beforeLines="0" w:afterLines="0" w:line="400" w:lineRule="exact"/>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乙方对甲方检查或审计中发现的问题</w:t>
      </w:r>
      <w:r>
        <w:rPr>
          <w:rFonts w:hint="eastAsia" w:ascii="仿宋" w:hAnsi="仿宋" w:eastAsia="仿宋" w:cs="仿宋"/>
          <w:color w:val="auto"/>
          <w:sz w:val="24"/>
          <w:szCs w:val="24"/>
          <w:highlight w:val="none"/>
          <w:lang w:val="en-US"/>
        </w:rPr>
        <w:t>有</w:t>
      </w:r>
      <w:r>
        <w:rPr>
          <w:rFonts w:hint="eastAsia" w:ascii="仿宋" w:hAnsi="仿宋" w:eastAsia="仿宋" w:cs="仿宋"/>
          <w:color w:val="auto"/>
          <w:sz w:val="24"/>
          <w:szCs w:val="24"/>
          <w:highlight w:val="none"/>
        </w:rPr>
        <w:t>以甲方认可的方式实施整改的义务</w:t>
      </w:r>
      <w:r>
        <w:rPr>
          <w:rFonts w:hint="eastAsia" w:ascii="仿宋" w:hAnsi="仿宋" w:eastAsia="仿宋" w:cs="仿宋"/>
          <w:color w:val="auto"/>
          <w:sz w:val="24"/>
          <w:szCs w:val="24"/>
          <w:highlight w:val="none"/>
          <w:lang w:eastAsia="zh-CN"/>
        </w:rPr>
        <w:t>。</w:t>
      </w:r>
    </w:p>
    <w:p w14:paraId="4C9B48E4">
      <w:pPr>
        <w:numPr>
          <w:ilvl w:val="0"/>
          <w:numId w:val="0"/>
        </w:numPr>
        <w:shd w:val="clear" w:color="auto" w:fill="auto"/>
        <w:spacing w:line="360" w:lineRule="auto"/>
        <w:ind w:lef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auto"/>
          <w:sz w:val="24"/>
          <w:szCs w:val="24"/>
          <w:highlight w:val="none"/>
          <w:lang w:val="en-US" w:eastAsia="zh-CN"/>
        </w:rPr>
        <w:t>4.乙方对甲方安全评估中发现的漏洞必须积极配合整改或采用升级方式进行修复，乙方不得收取任何费用，直至完成漏洞修复。</w:t>
      </w:r>
    </w:p>
    <w:p w14:paraId="61FA93C9">
      <w:pPr>
        <w:numPr>
          <w:ilvl w:val="0"/>
          <w:numId w:val="0"/>
        </w:numPr>
        <w:shd w:val="clear" w:color="auto" w:fill="auto"/>
        <w:spacing w:line="360" w:lineRule="auto"/>
        <w:ind w:left="0" w:firstLine="480" w:firstLineChars="200"/>
        <w:rPr>
          <w:rFonts w:ascii="仿宋_GB2312" w:hAnsi="仿宋_GB2312" w:eastAsia="仿宋_GB2312"/>
          <w:b w:val="0"/>
          <w:bCs/>
          <w:color w:val="000000"/>
          <w:sz w:val="24"/>
          <w:highlight w:val="none"/>
        </w:rPr>
      </w:pPr>
      <w:r>
        <w:rPr>
          <w:rFonts w:hint="eastAsia" w:ascii="仿宋_GB2312" w:hAnsi="仿宋_GB2312" w:eastAsia="仿宋_GB2312"/>
          <w:b w:val="0"/>
          <w:bCs/>
          <w:color w:val="000000"/>
          <w:sz w:val="24"/>
          <w:highlight w:val="none"/>
          <w:lang w:eastAsia="zh-CN"/>
        </w:rPr>
        <w:t>（七）</w:t>
      </w:r>
      <w:r>
        <w:rPr>
          <w:rFonts w:hint="eastAsia" w:ascii="仿宋_GB2312" w:hAnsi="仿宋_GB2312" w:eastAsia="仿宋_GB2312"/>
          <w:b w:val="0"/>
          <w:bCs/>
          <w:color w:val="000000"/>
          <w:sz w:val="24"/>
          <w:highlight w:val="none"/>
        </w:rPr>
        <w:t>报告管理要求</w:t>
      </w:r>
    </w:p>
    <w:p w14:paraId="1C6ABA34">
      <w:pPr>
        <w:numPr>
          <w:ilvl w:val="0"/>
          <w:numId w:val="0"/>
        </w:numPr>
        <w:shd w:val="clear" w:color="auto" w:fill="auto"/>
        <w:spacing w:line="360" w:lineRule="auto"/>
        <w:ind w:left="0" w:firstLine="480" w:firstLineChars="200"/>
        <w:rPr>
          <w:rFonts w:hint="eastAsia" w:ascii="仿宋" w:hAnsi="仿宋" w:eastAsia="仿宋" w:cs="仿宋"/>
          <w:b/>
          <w:color w:val="000000"/>
          <w:sz w:val="24"/>
          <w:szCs w:val="24"/>
          <w:highlight w:val="none"/>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在发生甲方客户信息泄露、乙方系统故障导致外包业务中断或可能引起甲方客户投诉等突发事件时，乙方应在突发事件发生后</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个小时内向甲方联系人报告，包括事件的影响以及处置和纠正措施。</w:t>
      </w:r>
    </w:p>
    <w:p w14:paraId="7D4E472A">
      <w:pPr>
        <w:numPr>
          <w:ilvl w:val="0"/>
          <w:numId w:val="0"/>
        </w:numPr>
        <w:shd w:val="clear" w:color="auto" w:fill="auto"/>
        <w:spacing w:line="400" w:lineRule="exact"/>
        <w:ind w:left="0" w:leftChars="0" w:firstLine="480" w:firstLineChars="200"/>
        <w:outlineLvl w:val="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（八）外包服务管理</w:t>
      </w:r>
    </w:p>
    <w:p w14:paraId="43A63B7D">
      <w:pPr>
        <w:numPr>
          <w:ilvl w:val="0"/>
          <w:numId w:val="9"/>
        </w:numPr>
        <w:shd w:val="clear" w:color="auto" w:fill="auto"/>
        <w:spacing w:beforeLines="0" w:afterLines="0" w:line="400" w:lineRule="exact"/>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接触或处理甲方</w:t>
      </w:r>
      <w:r>
        <w:rPr>
          <w:rFonts w:hint="eastAsia" w:ascii="仿宋" w:hAnsi="仿宋" w:eastAsia="仿宋" w:cs="仿宋"/>
          <w:color w:val="auto"/>
          <w:sz w:val="24"/>
          <w:szCs w:val="24"/>
          <w:highlight w:val="none"/>
          <w:lang w:eastAsia="zh-CN"/>
        </w:rPr>
        <w:t>数据</w:t>
      </w:r>
      <w:r>
        <w:rPr>
          <w:rFonts w:hint="eastAsia" w:ascii="仿宋" w:hAnsi="仿宋" w:eastAsia="仿宋" w:cs="仿宋"/>
          <w:color w:val="auto"/>
          <w:sz w:val="24"/>
          <w:szCs w:val="24"/>
          <w:highlight w:val="none"/>
        </w:rPr>
        <w:t>的乙方员工须得到</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的授权，除已授权的人员外，其他人员无权访问存储或处理甲方</w:t>
      </w:r>
      <w:r>
        <w:rPr>
          <w:rFonts w:hint="eastAsia" w:ascii="仿宋" w:hAnsi="仿宋" w:eastAsia="仿宋" w:cs="仿宋"/>
          <w:color w:val="auto"/>
          <w:sz w:val="24"/>
          <w:szCs w:val="24"/>
          <w:highlight w:val="none"/>
          <w:lang w:eastAsia="zh-CN"/>
        </w:rPr>
        <w:t>数据</w:t>
      </w:r>
      <w:r>
        <w:rPr>
          <w:rFonts w:hint="eastAsia" w:ascii="仿宋" w:hAnsi="仿宋" w:eastAsia="仿宋" w:cs="仿宋"/>
          <w:color w:val="auto"/>
          <w:sz w:val="24"/>
          <w:szCs w:val="24"/>
          <w:highlight w:val="none"/>
        </w:rPr>
        <w:t>的信息系统及设备</w:t>
      </w:r>
      <w:r>
        <w:rPr>
          <w:rFonts w:hint="eastAsia" w:ascii="仿宋" w:hAnsi="仿宋" w:eastAsia="仿宋" w:cs="仿宋"/>
          <w:color w:val="auto"/>
          <w:sz w:val="24"/>
          <w:szCs w:val="24"/>
          <w:highlight w:val="none"/>
          <w:lang w:eastAsia="zh-CN"/>
        </w:rPr>
        <w:t>。</w:t>
      </w:r>
    </w:p>
    <w:p w14:paraId="4AEF95F6">
      <w:pPr>
        <w:numPr>
          <w:ilvl w:val="0"/>
          <w:numId w:val="9"/>
        </w:numPr>
        <w:shd w:val="clear" w:color="auto" w:fill="auto"/>
        <w:spacing w:beforeLines="0" w:afterLines="0" w:line="400" w:lineRule="exact"/>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乙方需制定接触或处理甲方</w:t>
      </w:r>
      <w:r>
        <w:rPr>
          <w:rFonts w:hint="eastAsia" w:ascii="仿宋" w:hAnsi="仿宋" w:eastAsia="仿宋" w:cs="仿宋"/>
          <w:color w:val="auto"/>
          <w:sz w:val="24"/>
          <w:szCs w:val="24"/>
          <w:highlight w:val="none"/>
          <w:lang w:eastAsia="zh-CN"/>
        </w:rPr>
        <w:t>数据</w:t>
      </w:r>
      <w:r>
        <w:rPr>
          <w:rFonts w:hint="eastAsia" w:ascii="仿宋" w:hAnsi="仿宋" w:eastAsia="仿宋" w:cs="仿宋"/>
          <w:color w:val="auto"/>
          <w:sz w:val="24"/>
          <w:szCs w:val="24"/>
          <w:highlight w:val="none"/>
        </w:rPr>
        <w:t>的人员清单并在业务正式开展前5个工作日报备甲方，在人员清单发生变更时，乙方应在5个工作日内报备甲方</w:t>
      </w:r>
      <w:r>
        <w:rPr>
          <w:rFonts w:hint="eastAsia" w:ascii="仿宋" w:hAnsi="仿宋" w:eastAsia="仿宋" w:cs="仿宋"/>
          <w:color w:val="auto"/>
          <w:sz w:val="24"/>
          <w:szCs w:val="24"/>
          <w:highlight w:val="none"/>
          <w:lang w:eastAsia="zh-CN"/>
        </w:rPr>
        <w:t>。</w:t>
      </w:r>
    </w:p>
    <w:p w14:paraId="07CEE20B">
      <w:pPr>
        <w:numPr>
          <w:ilvl w:val="0"/>
          <w:numId w:val="9"/>
        </w:numPr>
        <w:shd w:val="clear" w:color="auto" w:fill="auto"/>
        <w:spacing w:beforeLines="0" w:afterLines="0" w:line="400" w:lineRule="exact"/>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乙方不得将外包服务转包或变相转包</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乙方不得将外包服务的主要业务分包</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乙方将业务进行分包的，</w:t>
      </w:r>
      <w:r>
        <w:rPr>
          <w:rFonts w:hint="eastAsia" w:ascii="仿宋" w:hAnsi="仿宋" w:eastAsia="仿宋" w:cs="仿宋"/>
          <w:color w:val="auto"/>
          <w:sz w:val="24"/>
          <w:szCs w:val="24"/>
          <w:highlight w:val="none"/>
          <w:lang w:eastAsia="zh-CN"/>
        </w:rPr>
        <w:t>须获得甲方的书面同意，</w:t>
      </w:r>
      <w:r>
        <w:rPr>
          <w:rFonts w:hint="eastAsia" w:ascii="仿宋" w:hAnsi="仿宋" w:eastAsia="仿宋" w:cs="仿宋"/>
          <w:color w:val="auto"/>
          <w:sz w:val="24"/>
          <w:szCs w:val="24"/>
          <w:highlight w:val="none"/>
        </w:rPr>
        <w:t>并</w:t>
      </w:r>
      <w:r>
        <w:rPr>
          <w:rFonts w:hint="eastAsia" w:ascii="仿宋" w:hAnsi="仿宋" w:eastAsia="仿宋" w:cs="仿宋"/>
          <w:color w:val="auto"/>
          <w:sz w:val="24"/>
          <w:szCs w:val="24"/>
          <w:highlight w:val="none"/>
          <w:lang w:eastAsia="zh-CN"/>
        </w:rPr>
        <w:t>须</w:t>
      </w:r>
      <w:r>
        <w:rPr>
          <w:rFonts w:hint="eastAsia" w:ascii="仿宋" w:hAnsi="仿宋" w:eastAsia="仿宋" w:cs="仿宋"/>
          <w:color w:val="auto"/>
          <w:sz w:val="24"/>
          <w:szCs w:val="24"/>
          <w:highlight w:val="none"/>
        </w:rPr>
        <w:t>通过协议确保分包外包商能够严格遵守</w:t>
      </w:r>
      <w:r>
        <w:rPr>
          <w:rFonts w:hint="eastAsia" w:ascii="仿宋" w:hAnsi="仿宋" w:eastAsia="仿宋" w:cs="仿宋"/>
          <w:color w:val="auto"/>
          <w:sz w:val="24"/>
          <w:szCs w:val="24"/>
          <w:highlight w:val="none"/>
          <w:lang w:eastAsia="zh-CN"/>
        </w:rPr>
        <w:t>甲乙双方合同约定的信息安全要求。</w:t>
      </w:r>
    </w:p>
    <w:p w14:paraId="5BE1E338">
      <w:pPr>
        <w:numPr>
          <w:ilvl w:val="0"/>
          <w:numId w:val="9"/>
        </w:numPr>
        <w:shd w:val="clear" w:color="auto" w:fill="auto"/>
        <w:spacing w:beforeLines="0" w:afterLines="0" w:line="400" w:lineRule="exact"/>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乙方对我行提供的服务资源应当至少与其他机构相互逻辑隔离，仅甲方具有对业务系统和数据的最高访问权限</w:t>
      </w:r>
      <w:r>
        <w:rPr>
          <w:rFonts w:hint="eastAsia" w:ascii="仿宋" w:hAnsi="仿宋" w:eastAsia="仿宋" w:cs="仿宋"/>
          <w:color w:val="auto"/>
          <w:sz w:val="24"/>
          <w:szCs w:val="24"/>
          <w:highlight w:val="none"/>
          <w:lang w:eastAsia="zh-CN"/>
        </w:rPr>
        <w:t>。</w:t>
      </w:r>
    </w:p>
    <w:p w14:paraId="089F6BE4">
      <w:pPr>
        <w:numPr>
          <w:ilvl w:val="0"/>
          <w:numId w:val="9"/>
        </w:numPr>
        <w:shd w:val="clear" w:color="auto" w:fill="auto"/>
        <w:spacing w:beforeLines="0" w:afterLines="0" w:line="400" w:lineRule="exact"/>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乙方需建立详细的业务连续性制度，评估甲方项目潜在的业务中断</w:t>
      </w:r>
      <w:r>
        <w:rPr>
          <w:rFonts w:hint="eastAsia" w:ascii="仿宋" w:hAnsi="仿宋" w:eastAsia="仿宋" w:cs="仿宋"/>
          <w:color w:val="auto"/>
          <w:sz w:val="24"/>
          <w:szCs w:val="24"/>
          <w:highlight w:val="none"/>
          <w:lang w:eastAsia="zh-CN"/>
        </w:rPr>
        <w:t>风险</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并</w:t>
      </w:r>
      <w:r>
        <w:rPr>
          <w:rFonts w:hint="eastAsia" w:ascii="仿宋" w:hAnsi="仿宋" w:eastAsia="仿宋" w:cs="仿宋"/>
          <w:color w:val="auto"/>
          <w:sz w:val="24"/>
          <w:szCs w:val="24"/>
          <w:highlight w:val="none"/>
        </w:rPr>
        <w:t>制定业务应急方案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以保障</w:t>
      </w:r>
      <w:r>
        <w:rPr>
          <w:rFonts w:hint="eastAsia" w:ascii="仿宋" w:hAnsi="仿宋" w:eastAsia="仿宋" w:cs="仿宋"/>
          <w:color w:val="auto"/>
          <w:sz w:val="24"/>
          <w:szCs w:val="24"/>
          <w:highlight w:val="none"/>
          <w:lang w:eastAsia="zh-CN"/>
        </w:rPr>
        <w:t>涉及甲方项目的</w:t>
      </w:r>
      <w:r>
        <w:rPr>
          <w:rFonts w:hint="eastAsia" w:ascii="仿宋" w:hAnsi="仿宋" w:eastAsia="仿宋" w:cs="仿宋"/>
          <w:color w:val="auto"/>
          <w:sz w:val="24"/>
          <w:szCs w:val="24"/>
          <w:highlight w:val="none"/>
        </w:rPr>
        <w:t>业务能够持续稳定运行</w:t>
      </w:r>
      <w:r>
        <w:rPr>
          <w:rFonts w:hint="eastAsia" w:ascii="仿宋" w:hAnsi="仿宋" w:eastAsia="仿宋" w:cs="仿宋"/>
          <w:color w:val="auto"/>
          <w:sz w:val="24"/>
          <w:szCs w:val="24"/>
          <w:highlight w:val="none"/>
          <w:lang w:eastAsia="zh-CN"/>
        </w:rPr>
        <w:t>。</w:t>
      </w:r>
    </w:p>
    <w:p w14:paraId="6C4CC26B">
      <w:pPr>
        <w:numPr>
          <w:ilvl w:val="0"/>
          <w:numId w:val="0"/>
        </w:numPr>
        <w:shd w:val="clear" w:color="auto" w:fill="auto"/>
        <w:tabs>
          <w:tab w:val="left" w:pos="426"/>
        </w:tabs>
        <w:spacing w:line="360" w:lineRule="auto"/>
        <w:ind w:left="0" w:firstLine="480" w:firstLineChars="200"/>
        <w:rPr>
          <w:rFonts w:hint="eastAsia" w:ascii="仿宋_GB2312" w:hAnsi="仿宋_GB2312" w:eastAsia="仿宋_GB2312"/>
          <w:color w:val="000000"/>
          <w:szCs w:val="21"/>
          <w:highlight w:val="none"/>
          <w:lang w:eastAsia="zh-CN"/>
        </w:rPr>
      </w:pPr>
      <w:r>
        <w:rPr>
          <w:rFonts w:hint="eastAsia" w:ascii="仿宋" w:hAnsi="仿宋" w:eastAsia="仿宋" w:cs="仿宋"/>
          <w:b w:val="0"/>
          <w:bCs w:val="0"/>
          <w:color w:val="auto"/>
          <w:sz w:val="24"/>
          <w:szCs w:val="24"/>
          <w:highlight w:val="none"/>
          <w:lang w:eastAsia="zh-CN"/>
        </w:rPr>
        <w:t>（九）服务水平要求</w:t>
      </w:r>
    </w:p>
    <w:p w14:paraId="124D1018">
      <w:pPr>
        <w:numPr>
          <w:ilvl w:val="0"/>
          <w:numId w:val="0"/>
        </w:numPr>
        <w:shd w:val="clear" w:color="auto" w:fill="auto"/>
        <w:tabs>
          <w:tab w:val="left" w:pos="426"/>
        </w:tabs>
        <w:spacing w:beforeLines="0" w:afterLines="0" w:line="360" w:lineRule="auto"/>
        <w:ind w:left="0" w:leftChars="0" w:firstLine="480" w:firstLineChars="200"/>
        <w:rPr>
          <w:rFonts w:hint="eastAsia" w:ascii="仿宋_GB2312" w:hAnsi="仿宋_GB2312" w:eastAsia="仿宋_GB2312"/>
          <w:color w:val="000000"/>
          <w:sz w:val="24"/>
          <w:szCs w:val="24"/>
          <w:highlight w:val="none"/>
        </w:rPr>
      </w:pPr>
      <w:r>
        <w:rPr>
          <w:rFonts w:hint="eastAsia" w:ascii="仿宋" w:hAnsi="仿宋" w:eastAsia="仿宋" w:cs="仿宋"/>
          <w:color w:val="000000"/>
          <w:sz w:val="24"/>
          <w:szCs w:val="24"/>
          <w:highlight w:val="none"/>
          <w:lang w:eastAsia="zh-CN"/>
        </w:rPr>
        <w:t>乙方提供的外包服务需满足：</w:t>
      </w:r>
      <w:r>
        <w:rPr>
          <w:rFonts w:hint="eastAsia" w:ascii="仿宋" w:hAnsi="仿宋" w:eastAsia="仿宋" w:cs="仿宋"/>
          <w:kern w:val="0"/>
          <w:sz w:val="24"/>
          <w:szCs w:val="24"/>
          <w:highlight w:val="none"/>
        </w:rPr>
        <w:t>对于</w:t>
      </w:r>
      <w:r>
        <w:rPr>
          <w:rFonts w:hint="eastAsia" w:ascii="仿宋" w:hAnsi="仿宋" w:eastAsia="仿宋" w:cs="仿宋"/>
          <w:kern w:val="0"/>
          <w:sz w:val="24"/>
          <w:szCs w:val="24"/>
          <w:highlight w:val="none"/>
          <w:lang w:eastAsia="zh-CN"/>
        </w:rPr>
        <w:t>甲方</w:t>
      </w:r>
      <w:r>
        <w:rPr>
          <w:rFonts w:hint="eastAsia" w:ascii="仿宋" w:hAnsi="仿宋" w:eastAsia="仿宋" w:cs="仿宋"/>
          <w:kern w:val="0"/>
          <w:sz w:val="24"/>
          <w:szCs w:val="24"/>
          <w:highlight w:val="none"/>
        </w:rPr>
        <w:t>委派的案件，</w:t>
      </w:r>
      <w:r>
        <w:rPr>
          <w:rFonts w:hint="eastAsia" w:ascii="仿宋" w:hAnsi="仿宋" w:eastAsia="仿宋" w:cs="仿宋"/>
          <w:kern w:val="0"/>
          <w:sz w:val="24"/>
          <w:szCs w:val="24"/>
          <w:highlight w:val="none"/>
          <w:lang w:eastAsia="zh-CN"/>
        </w:rPr>
        <w:t>乙方</w:t>
      </w:r>
      <w:r>
        <w:rPr>
          <w:rFonts w:hint="eastAsia" w:ascii="仿宋" w:hAnsi="仿宋" w:eastAsia="仿宋" w:cs="仿宋"/>
          <w:kern w:val="0"/>
          <w:sz w:val="24"/>
          <w:szCs w:val="24"/>
          <w:highlight w:val="none"/>
        </w:rPr>
        <w:t>投入人力团队与生产设备进行</w:t>
      </w:r>
      <w:r>
        <w:rPr>
          <w:rFonts w:hint="eastAsia" w:ascii="仿宋" w:hAnsi="仿宋" w:eastAsia="仿宋" w:cs="仿宋"/>
          <w:kern w:val="0"/>
          <w:sz w:val="24"/>
          <w:szCs w:val="24"/>
          <w:highlight w:val="none"/>
          <w:lang w:eastAsia="zh-CN"/>
        </w:rPr>
        <w:t>诉讼程序跟进、</w:t>
      </w:r>
      <w:r>
        <w:rPr>
          <w:rFonts w:hint="eastAsia" w:ascii="仿宋" w:hAnsi="仿宋" w:eastAsia="仿宋" w:cs="仿宋"/>
          <w:kern w:val="0"/>
          <w:sz w:val="24"/>
          <w:szCs w:val="24"/>
          <w:highlight w:val="none"/>
        </w:rPr>
        <w:t>催告通知、督促还款，</w:t>
      </w:r>
      <w:r>
        <w:rPr>
          <w:rFonts w:hint="eastAsia" w:ascii="仿宋" w:hAnsi="仿宋" w:eastAsia="仿宋" w:cs="仿宋"/>
          <w:kern w:val="0"/>
          <w:sz w:val="24"/>
          <w:szCs w:val="24"/>
          <w:highlight w:val="none"/>
          <w:lang w:eastAsia="zh-CN"/>
        </w:rPr>
        <w:t>确保诉讼催收过程符合甲方</w:t>
      </w:r>
      <w:r>
        <w:rPr>
          <w:rFonts w:hint="eastAsia" w:ascii="仿宋" w:hAnsi="仿宋" w:eastAsia="仿宋" w:cs="仿宋"/>
          <w:kern w:val="0"/>
          <w:sz w:val="24"/>
          <w:szCs w:val="24"/>
          <w:highlight w:val="none"/>
        </w:rPr>
        <w:t>品质合规要求。</w:t>
      </w:r>
    </w:p>
    <w:p w14:paraId="268852F7">
      <w:pPr>
        <w:shd w:val="clear" w:color="auto" w:fill="auto"/>
        <w:spacing w:line="400" w:lineRule="exact"/>
        <w:ind w:firstLine="600"/>
        <w:jc w:val="center"/>
        <w:rPr>
          <w:rFonts w:ascii="仿宋" w:hAnsi="仿宋" w:eastAsia="仿宋" w:cs="仿宋"/>
          <w:b/>
          <w:spacing w:val="-12"/>
          <w:sz w:val="24"/>
          <w:szCs w:val="24"/>
          <w:highlight w:val="none"/>
        </w:rPr>
      </w:pPr>
    </w:p>
    <w:p w14:paraId="7CFFB816">
      <w:pPr>
        <w:numPr>
          <w:ilvl w:val="0"/>
          <w:numId w:val="0"/>
        </w:numPr>
        <w:shd w:val="clear" w:color="auto" w:fill="auto"/>
        <w:snapToGrid/>
        <w:spacing w:line="400" w:lineRule="exact"/>
        <w:ind w:firstLine="0"/>
        <w:jc w:val="center"/>
        <w:rPr>
          <w:rFonts w:hint="default" w:ascii="仿宋" w:hAnsi="仿宋" w:eastAsia="仿宋" w:cs="仿宋"/>
          <w:b/>
          <w:bCs/>
          <w:spacing w:val="-12"/>
          <w:sz w:val="24"/>
          <w:szCs w:val="24"/>
          <w:highlight w:val="none"/>
        </w:rPr>
      </w:pPr>
      <w:r>
        <w:rPr>
          <w:rFonts w:ascii="仿宋" w:hAnsi="仿宋" w:eastAsia="仿宋" w:cs="仿宋"/>
          <w:b/>
          <w:spacing w:val="-12"/>
          <w:sz w:val="24"/>
          <w:szCs w:val="24"/>
          <w:highlight w:val="none"/>
        </w:rPr>
        <w:t>十</w:t>
      </w:r>
      <w:r>
        <w:rPr>
          <w:rFonts w:hint="eastAsia" w:ascii="仿宋" w:hAnsi="仿宋" w:eastAsia="仿宋" w:cs="仿宋"/>
          <w:b/>
          <w:spacing w:val="-12"/>
          <w:sz w:val="24"/>
          <w:szCs w:val="24"/>
          <w:highlight w:val="none"/>
          <w:lang w:eastAsia="zh-CN"/>
        </w:rPr>
        <w:t>四</w:t>
      </w:r>
      <w:r>
        <w:rPr>
          <w:rFonts w:ascii="仿宋" w:hAnsi="仿宋" w:eastAsia="仿宋" w:cs="仿宋"/>
          <w:b/>
          <w:spacing w:val="-12"/>
          <w:sz w:val="24"/>
          <w:szCs w:val="24"/>
          <w:highlight w:val="none"/>
        </w:rPr>
        <w:t>、</w:t>
      </w:r>
      <w:r>
        <w:rPr>
          <w:rFonts w:hint="eastAsia" w:ascii="仿宋" w:hAnsi="仿宋" w:eastAsia="仿宋" w:cs="仿宋"/>
          <w:b/>
          <w:spacing w:val="-12"/>
          <w:sz w:val="24"/>
          <w:szCs w:val="24"/>
          <w:highlight w:val="none"/>
        </w:rPr>
        <w:t>信息安全条款要求</w:t>
      </w:r>
    </w:p>
    <w:p w14:paraId="32232446">
      <w:pPr>
        <w:numPr>
          <w:ilvl w:val="0"/>
          <w:numId w:val="0"/>
        </w:numPr>
        <w:shd w:val="clear" w:color="auto" w:fill="auto"/>
        <w:spacing w:line="400" w:lineRule="exact"/>
        <w:ind w:left="420" w:leftChars="0" w:firstLine="0" w:firstLineChars="0"/>
        <w:outlineLvl w:val="0"/>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（一）</w:t>
      </w:r>
      <w:r>
        <w:rPr>
          <w:rFonts w:hint="eastAsia" w:ascii="仿宋" w:hAnsi="仿宋" w:eastAsia="仿宋" w:cs="仿宋"/>
          <w:b/>
          <w:bCs/>
          <w:color w:val="auto"/>
          <w:sz w:val="24"/>
          <w:szCs w:val="24"/>
        </w:rPr>
        <w:t>制度建设</w:t>
      </w:r>
    </w:p>
    <w:p w14:paraId="1321CA7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150" w:beforeAutospacing="0" w:after="0" w:afterAutospacing="0" w:line="360" w:lineRule="auto"/>
        <w:ind w:left="0" w:right="0" w:firstLine="420"/>
        <w:rPr>
          <w:rFonts w:hint="eastAsia" w:ascii="仿宋" w:hAnsi="仿宋" w:eastAsia="仿宋" w:cs="仿宋"/>
          <w:color w:val="auto"/>
          <w:sz w:val="24"/>
          <w:szCs w:val="24"/>
        </w:rPr>
      </w:pPr>
      <w:r>
        <w:rPr>
          <w:rFonts w:hint="eastAsia" w:ascii="仿宋" w:hAnsi="仿宋" w:eastAsia="仿宋" w:cs="仿宋"/>
          <w:color w:val="auto"/>
          <w:sz w:val="24"/>
          <w:szCs w:val="24"/>
        </w:rPr>
        <w:t>乙方需</w:t>
      </w:r>
      <w:r>
        <w:rPr>
          <w:rFonts w:hint="eastAsia" w:ascii="仿宋" w:hAnsi="仿宋" w:eastAsia="仿宋" w:cs="仿宋"/>
          <w:color w:val="auto"/>
          <w:sz w:val="24"/>
          <w:szCs w:val="24"/>
          <w:lang w:eastAsia="zh-CN"/>
        </w:rPr>
        <w:t>遵照《</w:t>
      </w:r>
      <w:r>
        <w:rPr>
          <w:rFonts w:hint="eastAsia" w:ascii="仿宋" w:hAnsi="仿宋" w:eastAsia="仿宋" w:cs="仿宋"/>
          <w:color w:val="auto"/>
          <w:sz w:val="24"/>
          <w:szCs w:val="24"/>
          <w:lang w:val="en-US" w:eastAsia="zh-CN"/>
        </w:rPr>
        <w:t>中华人民共和国</w:t>
      </w:r>
      <w:r>
        <w:rPr>
          <w:rFonts w:hint="eastAsia" w:ascii="仿宋" w:hAnsi="仿宋" w:eastAsia="仿宋" w:cs="仿宋"/>
          <w:color w:val="auto"/>
          <w:sz w:val="24"/>
          <w:szCs w:val="24"/>
          <w:lang w:eastAsia="zh-CN"/>
        </w:rPr>
        <w:t>网络安全法》《</w:t>
      </w:r>
      <w:r>
        <w:rPr>
          <w:rFonts w:hint="eastAsia" w:ascii="仿宋" w:hAnsi="仿宋" w:eastAsia="仿宋" w:cs="仿宋"/>
          <w:color w:val="auto"/>
          <w:sz w:val="24"/>
          <w:szCs w:val="24"/>
          <w:lang w:val="en-US" w:eastAsia="zh-CN"/>
        </w:rPr>
        <w:t>中华人民共和国数据安全法</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中华人民共和国</w:t>
      </w:r>
      <w:r>
        <w:rPr>
          <w:rFonts w:hint="eastAsia" w:ascii="仿宋" w:hAnsi="仿宋" w:eastAsia="仿宋" w:cs="仿宋"/>
          <w:color w:val="auto"/>
          <w:sz w:val="24"/>
          <w:szCs w:val="24"/>
          <w:lang w:eastAsia="zh-CN"/>
        </w:rPr>
        <w:t>个人信息保护法》等国家法律法规的要求，</w:t>
      </w:r>
      <w:r>
        <w:rPr>
          <w:rFonts w:hint="eastAsia" w:ascii="仿宋" w:hAnsi="仿宋" w:eastAsia="仿宋" w:cs="仿宋"/>
          <w:color w:val="auto"/>
          <w:sz w:val="24"/>
          <w:szCs w:val="24"/>
        </w:rPr>
        <w:t>制定</w:t>
      </w:r>
      <w:r>
        <w:rPr>
          <w:rFonts w:hint="eastAsia" w:ascii="仿宋" w:hAnsi="仿宋" w:eastAsia="仿宋" w:cs="仿宋"/>
          <w:color w:val="auto"/>
          <w:sz w:val="24"/>
          <w:szCs w:val="24"/>
          <w:lang w:val="en-US" w:eastAsia="zh-CN"/>
        </w:rPr>
        <w:t>相关</w:t>
      </w:r>
      <w:r>
        <w:rPr>
          <w:rFonts w:hint="eastAsia" w:ascii="仿宋" w:hAnsi="仿宋" w:eastAsia="仿宋" w:cs="仿宋"/>
          <w:color w:val="auto"/>
          <w:sz w:val="24"/>
          <w:szCs w:val="24"/>
        </w:rPr>
        <w:t>信息安全方面的管理制度</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并定期进行更新、维护，对</w:t>
      </w:r>
      <w:r>
        <w:rPr>
          <w:rFonts w:hint="eastAsia" w:ascii="仿宋" w:hAnsi="仿宋" w:eastAsia="仿宋" w:cs="仿宋"/>
          <w:color w:val="auto"/>
          <w:sz w:val="24"/>
          <w:szCs w:val="24"/>
          <w:lang w:eastAsia="zh-CN"/>
        </w:rPr>
        <w:t>制度</w:t>
      </w:r>
      <w:r>
        <w:rPr>
          <w:rFonts w:hint="eastAsia" w:ascii="仿宋" w:hAnsi="仿宋" w:eastAsia="仿宋" w:cs="仿宋"/>
          <w:color w:val="auto"/>
          <w:sz w:val="24"/>
          <w:szCs w:val="24"/>
        </w:rPr>
        <w:t>执行情况进行评估改进。</w:t>
      </w:r>
    </w:p>
    <w:p w14:paraId="34335002">
      <w:pPr>
        <w:numPr>
          <w:ilvl w:val="0"/>
          <w:numId w:val="0"/>
        </w:numPr>
        <w:shd w:val="clear" w:color="auto" w:fill="auto"/>
        <w:spacing w:line="360" w:lineRule="auto"/>
        <w:ind w:left="420" w:leftChars="0" w:firstLine="0" w:firstLineChars="0"/>
        <w:outlineLvl w:val="0"/>
        <w:rPr>
          <w:rFonts w:hint="eastAsia" w:ascii="仿宋" w:hAnsi="仿宋" w:eastAsia="仿宋" w:cs="仿宋"/>
          <w:b/>
          <w:bCs/>
          <w:color w:val="auto"/>
          <w:sz w:val="24"/>
          <w:szCs w:val="24"/>
        </w:rPr>
      </w:pPr>
      <w:r>
        <w:rPr>
          <w:rFonts w:hint="eastAsia" w:ascii="仿宋" w:hAnsi="仿宋" w:eastAsia="仿宋" w:cs="仿宋"/>
          <w:b w:val="0"/>
          <w:bCs w:val="0"/>
          <w:spacing w:val="-12"/>
          <w:sz w:val="24"/>
          <w:szCs w:val="24"/>
          <w:highlight w:val="none"/>
          <w:lang w:eastAsia="zh-CN"/>
        </w:rPr>
        <w:t>（二）</w:t>
      </w:r>
      <w:r>
        <w:rPr>
          <w:rFonts w:hint="eastAsia" w:ascii="仿宋" w:hAnsi="仿宋" w:eastAsia="仿宋" w:cs="仿宋"/>
          <w:b/>
          <w:bCs/>
          <w:color w:val="auto"/>
          <w:sz w:val="24"/>
          <w:szCs w:val="24"/>
        </w:rPr>
        <w:t>人员</w:t>
      </w:r>
      <w:r>
        <w:rPr>
          <w:rFonts w:hint="eastAsia" w:ascii="仿宋" w:hAnsi="仿宋" w:eastAsia="仿宋" w:cs="仿宋"/>
          <w:b/>
          <w:bCs/>
          <w:color w:val="auto"/>
          <w:sz w:val="24"/>
          <w:szCs w:val="24"/>
          <w:lang w:val="en-US" w:eastAsia="zh-CN"/>
        </w:rPr>
        <w:t>管理</w:t>
      </w:r>
    </w:p>
    <w:p w14:paraId="2482935D">
      <w:pPr>
        <w:numPr>
          <w:ilvl w:val="0"/>
          <w:numId w:val="10"/>
        </w:numPr>
        <w:shd w:val="clear" w:color="auto" w:fill="auto"/>
        <w:spacing w:line="360" w:lineRule="auto"/>
        <w:ind w:lef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乙方需对员工开展信息安全培训，并留存培训签到记录以备查。</w:t>
      </w:r>
    </w:p>
    <w:p w14:paraId="0EA16F4D">
      <w:pPr>
        <w:numPr>
          <w:ilvl w:val="0"/>
          <w:numId w:val="10"/>
        </w:numPr>
        <w:shd w:val="clear" w:color="auto" w:fill="auto"/>
        <w:spacing w:line="360" w:lineRule="auto"/>
        <w:ind w:lef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乙方需与涉及处理甲方业务或接触甲方信息的人员签订保密协议。</w:t>
      </w:r>
    </w:p>
    <w:p w14:paraId="3CDCF84D">
      <w:pPr>
        <w:numPr>
          <w:ilvl w:val="0"/>
          <w:numId w:val="10"/>
        </w:numPr>
        <w:shd w:val="clear" w:color="auto" w:fill="auto"/>
        <w:spacing w:line="360" w:lineRule="auto"/>
        <w:ind w:lef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乙方不得使用实习生或临时工处理甲方的数据或设备维护。</w:t>
      </w:r>
    </w:p>
    <w:p w14:paraId="4A4E8C7D">
      <w:pPr>
        <w:numPr>
          <w:ilvl w:val="0"/>
          <w:numId w:val="0"/>
        </w:numPr>
        <w:shd w:val="clear" w:color="auto" w:fill="auto"/>
        <w:spacing w:line="360" w:lineRule="auto"/>
        <w:ind w:left="420" w:leftChars="0" w:firstLine="0" w:firstLineChars="0"/>
        <w:outlineLvl w:val="0"/>
        <w:rPr>
          <w:rFonts w:hint="eastAsia" w:ascii="仿宋" w:hAnsi="仿宋" w:eastAsia="仿宋" w:cs="仿宋"/>
          <w:b/>
          <w:bCs/>
          <w:color w:val="auto"/>
          <w:sz w:val="24"/>
          <w:szCs w:val="24"/>
        </w:rPr>
      </w:pPr>
      <w:r>
        <w:rPr>
          <w:rFonts w:hint="eastAsia" w:ascii="仿宋" w:hAnsi="仿宋" w:eastAsia="仿宋" w:cs="仿宋"/>
          <w:b w:val="0"/>
          <w:bCs w:val="0"/>
          <w:spacing w:val="-12"/>
          <w:sz w:val="24"/>
          <w:szCs w:val="24"/>
          <w:highlight w:val="none"/>
          <w:lang w:eastAsia="zh-CN"/>
        </w:rPr>
        <w:t>（三）</w:t>
      </w:r>
      <w:r>
        <w:rPr>
          <w:rFonts w:hint="eastAsia" w:ascii="仿宋" w:hAnsi="仿宋" w:eastAsia="仿宋" w:cs="仿宋"/>
          <w:b/>
          <w:bCs/>
          <w:color w:val="auto"/>
          <w:sz w:val="24"/>
          <w:szCs w:val="24"/>
          <w:lang w:val="en-US" w:eastAsia="zh-CN"/>
        </w:rPr>
        <w:t>系统安全</w:t>
      </w:r>
    </w:p>
    <w:p w14:paraId="10D65941">
      <w:pPr>
        <w:numPr>
          <w:ilvl w:val="0"/>
          <w:numId w:val="11"/>
        </w:numPr>
        <w:shd w:val="clear" w:color="auto" w:fill="auto"/>
        <w:spacing w:line="360" w:lineRule="auto"/>
        <w:ind w:lef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乙方</w:t>
      </w:r>
      <w:r>
        <w:rPr>
          <w:rFonts w:hint="eastAsia" w:ascii="仿宋" w:hAnsi="仿宋" w:eastAsia="仿宋" w:cs="仿宋"/>
          <w:color w:val="auto"/>
          <w:sz w:val="24"/>
          <w:szCs w:val="24"/>
          <w:lang w:val="en-US" w:eastAsia="zh-CN"/>
        </w:rPr>
        <w:t>对</w:t>
      </w:r>
      <w:r>
        <w:rPr>
          <w:rFonts w:hint="eastAsia" w:ascii="仿宋" w:hAnsi="仿宋" w:eastAsia="仿宋" w:cs="仿宋"/>
          <w:color w:val="auto"/>
          <w:sz w:val="24"/>
          <w:szCs w:val="24"/>
        </w:rPr>
        <w:t>涉及</w:t>
      </w:r>
      <w:r>
        <w:rPr>
          <w:rFonts w:hint="eastAsia" w:ascii="仿宋" w:hAnsi="仿宋" w:eastAsia="仿宋" w:cs="仿宋"/>
          <w:color w:val="auto"/>
          <w:sz w:val="24"/>
          <w:szCs w:val="24"/>
          <w:lang w:val="en-US" w:eastAsia="zh-CN"/>
        </w:rPr>
        <w:t>甲方数据的系统</w:t>
      </w:r>
      <w:r>
        <w:rPr>
          <w:rFonts w:hint="eastAsia" w:ascii="仿宋" w:hAnsi="仿宋" w:eastAsia="仿宋" w:cs="仿宋"/>
          <w:color w:val="auto"/>
          <w:sz w:val="24"/>
          <w:szCs w:val="24"/>
        </w:rPr>
        <w:t>用户权限管理应符合按需定权、最小授权原则。</w:t>
      </w:r>
    </w:p>
    <w:p w14:paraId="3815335C">
      <w:pPr>
        <w:numPr>
          <w:ilvl w:val="0"/>
          <w:numId w:val="11"/>
        </w:numPr>
        <w:shd w:val="clear" w:color="auto" w:fill="auto"/>
        <w:spacing w:line="360" w:lineRule="auto"/>
        <w:ind w:lef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乙方至少每年一次</w:t>
      </w:r>
      <w:r>
        <w:rPr>
          <w:rFonts w:hint="eastAsia" w:ascii="仿宋" w:hAnsi="仿宋" w:eastAsia="仿宋" w:cs="仿宋"/>
          <w:color w:val="auto"/>
          <w:sz w:val="24"/>
          <w:szCs w:val="24"/>
          <w:lang w:val="en-US" w:eastAsia="zh-CN"/>
        </w:rPr>
        <w:t>对</w:t>
      </w:r>
      <w:r>
        <w:rPr>
          <w:rFonts w:hint="eastAsia" w:ascii="仿宋" w:hAnsi="仿宋" w:eastAsia="仿宋" w:cs="仿宋"/>
          <w:color w:val="auto"/>
          <w:sz w:val="24"/>
          <w:szCs w:val="24"/>
        </w:rPr>
        <w:t>涉及</w:t>
      </w:r>
      <w:r>
        <w:rPr>
          <w:rFonts w:hint="eastAsia" w:ascii="仿宋" w:hAnsi="仿宋" w:eastAsia="仿宋" w:cs="仿宋"/>
          <w:color w:val="auto"/>
          <w:sz w:val="24"/>
          <w:szCs w:val="24"/>
          <w:lang w:val="en-US" w:eastAsia="zh-CN"/>
        </w:rPr>
        <w:t>甲方数据的系统</w:t>
      </w:r>
      <w:r>
        <w:rPr>
          <w:rFonts w:hint="eastAsia" w:ascii="仿宋" w:hAnsi="仿宋" w:eastAsia="仿宋" w:cs="仿宋"/>
          <w:color w:val="auto"/>
          <w:sz w:val="24"/>
          <w:szCs w:val="24"/>
        </w:rPr>
        <w:t>用户权限进行清查，包括远程登录用户、数据库用户等，及时删除已离职用户权限。</w:t>
      </w:r>
    </w:p>
    <w:p w14:paraId="0FC5CB98">
      <w:pPr>
        <w:numPr>
          <w:ilvl w:val="0"/>
          <w:numId w:val="11"/>
        </w:numPr>
        <w:shd w:val="clear" w:color="auto" w:fill="auto"/>
        <w:spacing w:line="360" w:lineRule="auto"/>
        <w:ind w:lef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乙方</w:t>
      </w:r>
      <w:r>
        <w:rPr>
          <w:rFonts w:hint="eastAsia" w:ascii="仿宋" w:hAnsi="仿宋" w:eastAsia="仿宋" w:cs="仿宋"/>
          <w:color w:val="auto"/>
          <w:sz w:val="24"/>
          <w:szCs w:val="24"/>
          <w:lang w:val="en-US" w:eastAsia="zh-CN"/>
        </w:rPr>
        <w:t>应对</w:t>
      </w:r>
      <w:r>
        <w:rPr>
          <w:rFonts w:hint="eastAsia" w:ascii="仿宋" w:hAnsi="仿宋" w:eastAsia="仿宋" w:cs="仿宋"/>
          <w:color w:val="auto"/>
          <w:sz w:val="24"/>
          <w:szCs w:val="24"/>
        </w:rPr>
        <w:t>涉及</w:t>
      </w:r>
      <w:r>
        <w:rPr>
          <w:rFonts w:hint="eastAsia" w:ascii="仿宋" w:hAnsi="仿宋" w:eastAsia="仿宋" w:cs="仿宋"/>
          <w:color w:val="auto"/>
          <w:sz w:val="24"/>
          <w:szCs w:val="24"/>
          <w:lang w:val="en-US" w:eastAsia="zh-CN"/>
        </w:rPr>
        <w:t>甲方数据的系统账号采取有效的安全措施，包括但不限于：</w:t>
      </w:r>
      <w:r>
        <w:rPr>
          <w:rFonts w:hint="eastAsia" w:ascii="仿宋" w:hAnsi="仿宋" w:eastAsia="仿宋" w:cs="仿宋"/>
          <w:color w:val="auto"/>
          <w:sz w:val="24"/>
          <w:szCs w:val="24"/>
        </w:rPr>
        <w:t>系统用户必须采用实名制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用户密码应每三个月要求更改一次</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密码需不低于8位，且包含字母、数字和特殊字符</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密码不得与他人分享。</w:t>
      </w:r>
    </w:p>
    <w:p w14:paraId="30C65956">
      <w:pPr>
        <w:numPr>
          <w:ilvl w:val="0"/>
          <w:numId w:val="11"/>
        </w:numPr>
        <w:shd w:val="clear" w:color="auto" w:fill="auto"/>
        <w:spacing w:line="360" w:lineRule="auto"/>
        <w:ind w:lef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涉及甲方数据处理的系统（环节）需具备完善的操作日志。</w:t>
      </w:r>
    </w:p>
    <w:p w14:paraId="2F236A7C">
      <w:pPr>
        <w:numPr>
          <w:ilvl w:val="0"/>
          <w:numId w:val="11"/>
        </w:numPr>
        <w:shd w:val="clear" w:color="auto" w:fill="auto"/>
        <w:spacing w:line="360" w:lineRule="auto"/>
        <w:ind w:lef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涉及甲方数据的系统，</w:t>
      </w:r>
      <w:r>
        <w:rPr>
          <w:rFonts w:hint="eastAsia" w:ascii="仿宋" w:hAnsi="仿宋" w:eastAsia="仿宋" w:cs="仿宋"/>
          <w:color w:val="auto"/>
          <w:sz w:val="24"/>
          <w:szCs w:val="24"/>
        </w:rPr>
        <w:t>乙方应只开放业务必须的网络端口及服务，其他网络端口及服务应禁用。</w:t>
      </w:r>
    </w:p>
    <w:p w14:paraId="0F3136AB">
      <w:pPr>
        <w:numPr>
          <w:ilvl w:val="0"/>
          <w:numId w:val="0"/>
        </w:numPr>
        <w:shd w:val="clear" w:color="auto" w:fill="auto"/>
        <w:spacing w:line="360" w:lineRule="auto"/>
        <w:ind w:left="420" w:leftChars="0" w:firstLine="0" w:firstLineChars="0"/>
        <w:outlineLvl w:val="0"/>
        <w:rPr>
          <w:rFonts w:hint="eastAsia" w:ascii="仿宋" w:hAnsi="仿宋" w:eastAsia="仿宋" w:cs="仿宋"/>
          <w:b/>
          <w:bCs/>
          <w:color w:val="auto"/>
          <w:sz w:val="24"/>
          <w:szCs w:val="24"/>
        </w:rPr>
      </w:pPr>
      <w:r>
        <w:rPr>
          <w:rFonts w:hint="eastAsia" w:ascii="仿宋" w:hAnsi="仿宋" w:eastAsia="仿宋" w:cs="仿宋"/>
          <w:b w:val="0"/>
          <w:bCs w:val="0"/>
          <w:spacing w:val="-12"/>
          <w:sz w:val="24"/>
          <w:szCs w:val="24"/>
          <w:highlight w:val="none"/>
          <w:lang w:eastAsia="zh-CN"/>
        </w:rPr>
        <w:t>（四）</w:t>
      </w:r>
      <w:r>
        <w:rPr>
          <w:rFonts w:hint="eastAsia" w:ascii="仿宋" w:hAnsi="仿宋" w:eastAsia="仿宋" w:cs="仿宋"/>
          <w:b/>
          <w:bCs/>
          <w:color w:val="auto"/>
          <w:sz w:val="24"/>
          <w:szCs w:val="24"/>
        </w:rPr>
        <w:t>数据安全</w:t>
      </w:r>
    </w:p>
    <w:p w14:paraId="463F7729">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left="420" w:leftChars="200" w:right="0" w:rightChars="0" w:firstLine="0" w:firstLineChars="0"/>
        <w:jc w:val="both"/>
        <w:textAlignment w:val="auto"/>
        <w:outlineLvl w:val="1"/>
        <w:rPr>
          <w:rFonts w:hint="eastAsia" w:ascii="仿宋" w:hAnsi="仿宋" w:eastAsia="仿宋" w:cs="仿宋"/>
          <w:b/>
          <w:bCs w:val="0"/>
          <w:color w:val="auto"/>
          <w:sz w:val="24"/>
          <w:lang w:val="en-US" w:eastAsia="zh-CN"/>
        </w:rPr>
      </w:pPr>
      <w:r>
        <w:rPr>
          <w:rFonts w:hint="eastAsia" w:ascii="仿宋" w:hAnsi="仿宋" w:eastAsia="仿宋" w:cs="仿宋"/>
          <w:b/>
          <w:bCs w:val="0"/>
          <w:color w:val="auto"/>
          <w:sz w:val="24"/>
          <w:lang w:val="en-US" w:eastAsia="zh-CN"/>
        </w:rPr>
        <w:t>1、数据信息收集</w:t>
      </w:r>
    </w:p>
    <w:p w14:paraId="605B504D">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left="420" w:leftChars="200" w:right="0" w:rightChars="0" w:firstLine="0" w:firstLineChars="0"/>
        <w:jc w:val="both"/>
        <w:textAlignment w:val="auto"/>
        <w:outlineLvl w:val="1"/>
        <w:rPr>
          <w:rFonts w:hint="eastAsia" w:ascii="仿宋" w:hAnsi="仿宋" w:eastAsia="仿宋" w:cs="仿宋"/>
          <w:b/>
          <w:bCs w:val="0"/>
          <w:color w:val="auto"/>
          <w:sz w:val="24"/>
          <w:lang w:val="en-US" w:eastAsia="zh-CN"/>
        </w:rPr>
      </w:pPr>
      <w:r>
        <w:rPr>
          <w:rFonts w:hint="eastAsia" w:ascii="仿宋" w:hAnsi="仿宋" w:eastAsia="仿宋" w:cs="仿宋"/>
          <w:b/>
          <w:bCs w:val="0"/>
          <w:color w:val="auto"/>
          <w:sz w:val="24"/>
          <w:lang w:val="en-US" w:eastAsia="zh-CN"/>
        </w:rPr>
        <w:t>如涉及个人信息收集、提供或传输的，按照以下要求执行：</w:t>
      </w:r>
    </w:p>
    <w:p w14:paraId="2F3C88EB">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360" w:lineRule="auto"/>
        <w:ind w:left="420" w:leftChars="200" w:right="0" w:rightChars="0" w:firstLine="0" w:firstLineChars="0"/>
        <w:jc w:val="both"/>
        <w:textAlignment w:val="auto"/>
        <w:outlineLvl w:val="9"/>
        <w:rPr>
          <w:rFonts w:hint="eastAsia" w:ascii="仿宋" w:hAnsi="仿宋" w:eastAsia="仿宋" w:cs="仿宋"/>
          <w:color w:val="auto"/>
          <w:sz w:val="24"/>
          <w:szCs w:val="24"/>
        </w:rPr>
      </w:pPr>
      <w:r>
        <w:rPr>
          <w:rFonts w:hint="eastAsia" w:ascii="仿宋" w:hAnsi="仿宋" w:eastAsia="仿宋" w:cs="仿宋"/>
          <w:bCs w:val="0"/>
          <w:color w:val="auto"/>
          <w:sz w:val="24"/>
          <w:szCs w:val="24"/>
          <w:lang w:val="en-US" w:eastAsia="zh-CN"/>
        </w:rPr>
        <w:t>（1）乙方应确保向甲方提供个人信息时，已依法获得信息主体同意（如涉及不满十四周岁未成年人的个人信息，确保已获得其父母或者其他监护人的同意），并保存相关资料，法律规定可以</w:t>
      </w:r>
      <w:r>
        <w:rPr>
          <w:rFonts w:hint="eastAsia" w:ascii="仿宋" w:hAnsi="仿宋" w:eastAsia="仿宋" w:cs="仿宋"/>
          <w:color w:val="auto"/>
          <w:sz w:val="24"/>
          <w:szCs w:val="24"/>
        </w:rPr>
        <w:t>不经同意的除外。</w:t>
      </w:r>
    </w:p>
    <w:p w14:paraId="0A6FD7DC">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360" w:lineRule="auto"/>
        <w:ind w:left="420" w:leftChars="200" w:right="0" w:rightChars="0" w:firstLine="0" w:firstLineChars="0"/>
        <w:jc w:val="both"/>
        <w:textAlignment w:val="auto"/>
        <w:outlineLvl w:val="9"/>
        <w:rPr>
          <w:rFonts w:hint="eastAsia" w:ascii="仿宋" w:hAnsi="仿宋" w:eastAsia="仿宋" w:cs="仿宋"/>
          <w:color w:val="auto"/>
          <w:sz w:val="24"/>
          <w:szCs w:val="24"/>
        </w:rPr>
      </w:pPr>
      <w:r>
        <w:rPr>
          <w:rFonts w:hint="eastAsia" w:ascii="仿宋" w:hAnsi="仿宋" w:eastAsia="仿宋" w:cs="仿宋"/>
          <w:bCs w:val="0"/>
          <w:color w:val="auto"/>
          <w:sz w:val="24"/>
          <w:szCs w:val="24"/>
          <w:lang w:eastAsia="zh-CN"/>
        </w:rPr>
        <w:t>（</w:t>
      </w:r>
      <w:r>
        <w:rPr>
          <w:rFonts w:hint="eastAsia" w:ascii="仿宋" w:hAnsi="仿宋" w:eastAsia="仿宋" w:cs="仿宋"/>
          <w:bCs w:val="0"/>
          <w:color w:val="auto"/>
          <w:sz w:val="24"/>
          <w:szCs w:val="24"/>
          <w:lang w:val="en-US" w:eastAsia="zh-CN"/>
        </w:rPr>
        <w:t>2</w:t>
      </w:r>
      <w:r>
        <w:rPr>
          <w:rFonts w:hint="eastAsia" w:ascii="仿宋" w:hAnsi="仿宋" w:eastAsia="仿宋" w:cs="仿宋"/>
          <w:bCs w:val="0"/>
          <w:color w:val="auto"/>
          <w:sz w:val="24"/>
          <w:szCs w:val="24"/>
          <w:lang w:eastAsia="zh-CN"/>
        </w:rPr>
        <w:t>）</w:t>
      </w:r>
      <w:r>
        <w:rPr>
          <w:rFonts w:hint="eastAsia" w:ascii="仿宋" w:hAnsi="仿宋" w:eastAsia="仿宋" w:cs="仿宋"/>
          <w:bCs w:val="0"/>
          <w:color w:val="auto"/>
          <w:sz w:val="24"/>
          <w:szCs w:val="24"/>
        </w:rPr>
        <w:t>乙方应确保所提供的服务符合法律行政法规部门规章及监管规定，</w:t>
      </w:r>
      <w:r>
        <w:rPr>
          <w:rFonts w:hint="eastAsia" w:ascii="仿宋" w:hAnsi="仿宋" w:eastAsia="仿宋" w:cs="仿宋"/>
          <w:color w:val="auto"/>
          <w:sz w:val="24"/>
          <w:szCs w:val="24"/>
        </w:rPr>
        <w:t>向甲方提供的服务数据为依法采集、合法存留，并经用户授权可提供给</w:t>
      </w:r>
      <w:r>
        <w:rPr>
          <w:rFonts w:hint="eastAsia" w:ascii="仿宋" w:hAnsi="仿宋" w:eastAsia="仿宋" w:cs="仿宋"/>
          <w:color w:val="auto"/>
          <w:sz w:val="24"/>
          <w:szCs w:val="24"/>
          <w:lang w:val="en-US" w:eastAsia="zh-CN"/>
        </w:rPr>
        <w:t>甲方</w:t>
      </w:r>
      <w:r>
        <w:rPr>
          <w:rFonts w:hint="eastAsia" w:ascii="仿宋" w:hAnsi="仿宋" w:eastAsia="仿宋" w:cs="仿宋"/>
          <w:color w:val="auto"/>
          <w:sz w:val="24"/>
          <w:szCs w:val="24"/>
        </w:rPr>
        <w:t>，乙方应对为甲方提供本协议项下产品/服务及其来源的合法性、有效性、真实性负责，甲方仅按照本协议享有乙方提供的服务并履行相应的义务。</w:t>
      </w:r>
      <w:r>
        <w:rPr>
          <w:rFonts w:hint="eastAsia" w:ascii="仿宋" w:hAnsi="仿宋" w:eastAsia="仿宋" w:cs="仿宋"/>
          <w:color w:val="auto"/>
          <w:sz w:val="24"/>
          <w:szCs w:val="24"/>
          <w:lang w:val="en-US" w:eastAsia="zh-CN"/>
        </w:rPr>
        <w:t>如涉及个人信息的处理目的、处理方式和处理的个人信息种类与原授权不一致的，乙方应当重新取得甲方同意。</w:t>
      </w:r>
    </w:p>
    <w:p w14:paraId="0490557F">
      <w:pPr>
        <w:numPr>
          <w:ilvl w:val="0"/>
          <w:numId w:val="0"/>
        </w:numPr>
        <w:shd w:val="clear" w:color="auto" w:fill="auto"/>
        <w:spacing w:beforeLines="0" w:afterLines="0" w:line="360" w:lineRule="auto"/>
        <w:ind w:left="420" w:leftChars="200" w:firstLine="0" w:firstLineChars="0"/>
        <w:rPr>
          <w:rFonts w:hint="eastAsia" w:ascii="仿宋" w:hAnsi="仿宋" w:eastAsia="仿宋" w:cs="仿宋"/>
          <w:bCs w:val="0"/>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）乙方</w:t>
      </w:r>
      <w:r>
        <w:rPr>
          <w:rFonts w:hint="eastAsia" w:ascii="仿宋" w:hAnsi="仿宋" w:eastAsia="仿宋" w:cs="仿宋"/>
          <w:color w:val="auto"/>
          <w:sz w:val="24"/>
          <w:szCs w:val="24"/>
        </w:rPr>
        <w:t>应配合</w:t>
      </w:r>
      <w:r>
        <w:rPr>
          <w:rFonts w:hint="eastAsia" w:ascii="仿宋" w:hAnsi="仿宋" w:eastAsia="仿宋" w:cs="仿宋"/>
          <w:color w:val="auto"/>
          <w:sz w:val="24"/>
          <w:szCs w:val="24"/>
          <w:lang w:eastAsia="zh-CN"/>
        </w:rPr>
        <w:t>甲方</w:t>
      </w:r>
      <w:r>
        <w:rPr>
          <w:rFonts w:hint="eastAsia" w:ascii="仿宋" w:hAnsi="仿宋" w:eastAsia="仿宋" w:cs="仿宋"/>
          <w:color w:val="auto"/>
          <w:sz w:val="24"/>
          <w:szCs w:val="24"/>
        </w:rPr>
        <w:t>对获得信息主体授权的情况进行检查。若拒绝配合超过10个工作日的，则</w:t>
      </w:r>
      <w:r>
        <w:rPr>
          <w:rFonts w:hint="eastAsia" w:ascii="仿宋" w:hAnsi="仿宋" w:eastAsia="仿宋" w:cs="仿宋"/>
          <w:color w:val="auto"/>
          <w:sz w:val="24"/>
          <w:szCs w:val="24"/>
          <w:lang w:val="en-US" w:eastAsia="zh-CN"/>
        </w:rPr>
        <w:t>甲</w:t>
      </w:r>
      <w:r>
        <w:rPr>
          <w:rFonts w:hint="eastAsia" w:ascii="仿宋" w:hAnsi="仿宋" w:eastAsia="仿宋" w:cs="仿宋"/>
          <w:color w:val="auto"/>
          <w:sz w:val="24"/>
          <w:szCs w:val="24"/>
        </w:rPr>
        <w:t>方有权暂停或终止提供本协议。如果在检查过程中发现</w:t>
      </w:r>
      <w:r>
        <w:rPr>
          <w:rFonts w:hint="eastAsia" w:ascii="仿宋" w:hAnsi="仿宋" w:eastAsia="仿宋" w:cs="仿宋"/>
          <w:color w:val="auto"/>
          <w:sz w:val="24"/>
          <w:szCs w:val="24"/>
          <w:lang w:val="en-US" w:eastAsia="zh-CN"/>
        </w:rPr>
        <w:t>乙方</w:t>
      </w:r>
      <w:r>
        <w:rPr>
          <w:rFonts w:hint="eastAsia" w:ascii="仿宋" w:hAnsi="仿宋" w:eastAsia="仿宋" w:cs="仿宋"/>
          <w:color w:val="auto"/>
          <w:sz w:val="24"/>
          <w:szCs w:val="24"/>
        </w:rPr>
        <w:t>违反“</w:t>
      </w:r>
      <w:r>
        <w:rPr>
          <w:rFonts w:hint="eastAsia" w:ascii="仿宋" w:hAnsi="仿宋" w:eastAsia="仿宋" w:cs="仿宋"/>
          <w:color w:val="auto"/>
          <w:sz w:val="24"/>
          <w:szCs w:val="24"/>
          <w:lang w:eastAsia="zh-CN"/>
        </w:rPr>
        <w:t>个人信息</w:t>
      </w:r>
      <w:r>
        <w:rPr>
          <w:rFonts w:hint="eastAsia" w:ascii="仿宋" w:hAnsi="仿宋" w:eastAsia="仿宋" w:cs="仿宋"/>
          <w:color w:val="auto"/>
          <w:sz w:val="24"/>
          <w:szCs w:val="24"/>
          <w:lang w:val="en-US" w:eastAsia="zh-CN"/>
        </w:rPr>
        <w:t>收集</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的法律法规和约定</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甲方有权</w:t>
      </w:r>
      <w:r>
        <w:rPr>
          <w:rFonts w:hint="eastAsia" w:ascii="仿宋" w:hAnsi="仿宋" w:eastAsia="仿宋" w:cs="仿宋"/>
          <w:color w:val="auto"/>
          <w:sz w:val="24"/>
          <w:szCs w:val="24"/>
        </w:rPr>
        <w:t>终止本协议。</w:t>
      </w:r>
    </w:p>
    <w:p w14:paraId="688F413E">
      <w:pPr>
        <w:numPr>
          <w:ilvl w:val="0"/>
          <w:numId w:val="0"/>
        </w:numPr>
        <w:shd w:val="clear" w:color="auto" w:fill="auto"/>
        <w:adjustRightInd w:val="0"/>
        <w:snapToGrid w:val="0"/>
        <w:spacing w:beforeLines="0" w:afterLines="0" w:line="360" w:lineRule="auto"/>
        <w:ind w:left="420" w:leftChars="200" w:firstLine="0" w:firstLineChars="0"/>
        <w:outlineLvl w:val="1"/>
        <w:rPr>
          <w:rFonts w:hint="eastAsia" w:ascii="仿宋" w:hAnsi="仿宋" w:eastAsia="仿宋" w:cs="仿宋"/>
          <w:bCs/>
          <w:color w:val="auto"/>
          <w:sz w:val="24"/>
          <w:szCs w:val="22"/>
        </w:rPr>
      </w:pPr>
      <w:r>
        <w:rPr>
          <w:rFonts w:hint="eastAsia" w:ascii="仿宋" w:hAnsi="仿宋" w:eastAsia="仿宋" w:cs="仿宋"/>
          <w:b/>
          <w:bCs w:val="0"/>
          <w:color w:val="auto"/>
          <w:sz w:val="24"/>
          <w:lang w:val="en-US" w:eastAsia="zh-CN"/>
        </w:rPr>
        <w:t>2、数据信息传输</w:t>
      </w:r>
    </w:p>
    <w:p w14:paraId="45A71E0D">
      <w:pPr>
        <w:numPr>
          <w:ilvl w:val="0"/>
          <w:numId w:val="0"/>
        </w:numPr>
        <w:shd w:val="clear" w:color="auto" w:fill="auto"/>
        <w:spacing w:beforeLines="0" w:afterLines="0" w:line="360" w:lineRule="auto"/>
        <w:ind w:left="420" w:leftChars="200" w:firstLine="0" w:firstLineChars="0"/>
        <w:rPr>
          <w:rFonts w:hint="eastAsia" w:ascii="仿宋" w:hAnsi="仿宋" w:eastAsia="仿宋" w:cs="仿宋"/>
          <w:color w:val="auto"/>
          <w:sz w:val="24"/>
          <w:szCs w:val="24"/>
        </w:rPr>
      </w:pPr>
      <w:r>
        <w:rPr>
          <w:rFonts w:hint="eastAsia" w:ascii="仿宋" w:hAnsi="仿宋" w:eastAsia="仿宋" w:cs="仿宋"/>
          <w:bCs/>
          <w:color w:val="auto"/>
          <w:sz w:val="24"/>
          <w:szCs w:val="22"/>
          <w:lang w:eastAsia="zh-CN"/>
        </w:rPr>
        <w:t>（</w:t>
      </w:r>
      <w:r>
        <w:rPr>
          <w:rFonts w:hint="eastAsia" w:ascii="仿宋" w:hAnsi="仿宋" w:eastAsia="仿宋" w:cs="仿宋"/>
          <w:bCs/>
          <w:color w:val="auto"/>
          <w:sz w:val="24"/>
          <w:szCs w:val="22"/>
          <w:lang w:val="en-US" w:eastAsia="zh-CN"/>
        </w:rPr>
        <w:t>1</w:t>
      </w:r>
      <w:r>
        <w:rPr>
          <w:rFonts w:hint="eastAsia" w:ascii="仿宋" w:hAnsi="仿宋" w:eastAsia="仿宋" w:cs="仿宋"/>
          <w:bCs/>
          <w:color w:val="auto"/>
          <w:sz w:val="24"/>
          <w:szCs w:val="22"/>
          <w:lang w:eastAsia="zh-CN"/>
        </w:rPr>
        <w:t>）</w:t>
      </w:r>
      <w:r>
        <w:rPr>
          <w:rFonts w:hint="eastAsia" w:ascii="仿宋" w:hAnsi="仿宋" w:eastAsia="仿宋" w:cs="仿宋"/>
          <w:bCs/>
          <w:color w:val="auto"/>
          <w:sz w:val="24"/>
          <w:szCs w:val="22"/>
        </w:rPr>
        <w:t>涉及甲方客户数据的传输必须采用</w:t>
      </w:r>
      <w:r>
        <w:rPr>
          <w:rFonts w:hint="eastAsia" w:ascii="仿宋" w:hAnsi="仿宋" w:eastAsia="仿宋" w:cs="仿宋"/>
          <w:bCs/>
          <w:color w:val="auto"/>
          <w:sz w:val="24"/>
          <w:szCs w:val="22"/>
          <w:lang w:val="en-US" w:eastAsia="zh-CN"/>
        </w:rPr>
        <w:t>符合《中华人民共和国密码法》的</w:t>
      </w:r>
      <w:r>
        <w:rPr>
          <w:rFonts w:hint="eastAsia" w:ascii="仿宋" w:hAnsi="仿宋" w:eastAsia="仿宋" w:cs="仿宋"/>
          <w:bCs/>
          <w:color w:val="auto"/>
          <w:sz w:val="24"/>
          <w:szCs w:val="22"/>
        </w:rPr>
        <w:t>加密算法</w:t>
      </w:r>
      <w:r>
        <w:rPr>
          <w:rFonts w:hint="eastAsia" w:ascii="仿宋" w:hAnsi="仿宋" w:eastAsia="仿宋" w:cs="仿宋"/>
          <w:bCs/>
          <w:color w:val="auto"/>
          <w:sz w:val="24"/>
          <w:szCs w:val="22"/>
          <w:lang w:val="en-US" w:eastAsia="zh-CN"/>
        </w:rPr>
        <w:t>进行加密</w:t>
      </w:r>
      <w:r>
        <w:rPr>
          <w:rFonts w:hint="eastAsia" w:ascii="仿宋" w:hAnsi="仿宋" w:eastAsia="仿宋" w:cs="仿宋"/>
          <w:bCs/>
          <w:color w:val="auto"/>
          <w:sz w:val="24"/>
          <w:szCs w:val="22"/>
        </w:rPr>
        <w:t>。</w:t>
      </w:r>
    </w:p>
    <w:p w14:paraId="652AC576">
      <w:pPr>
        <w:numPr>
          <w:ilvl w:val="0"/>
          <w:numId w:val="0"/>
        </w:numPr>
        <w:shd w:val="clear" w:color="auto" w:fill="auto"/>
        <w:adjustRightInd w:val="0"/>
        <w:snapToGrid w:val="0"/>
        <w:spacing w:line="360" w:lineRule="auto"/>
        <w:ind w:leftChars="200" w:firstLine="0" w:firstLineChars="0"/>
        <w:outlineLvl w:val="1"/>
        <w:rPr>
          <w:rFonts w:hint="eastAsia" w:ascii="仿宋" w:hAnsi="仿宋" w:eastAsia="仿宋" w:cs="仿宋"/>
          <w:b/>
          <w:bCs w:val="0"/>
          <w:color w:val="auto"/>
          <w:sz w:val="24"/>
          <w:szCs w:val="22"/>
          <w:lang w:eastAsia="zh-CN"/>
        </w:rPr>
      </w:pPr>
      <w:r>
        <w:rPr>
          <w:rFonts w:hint="eastAsia" w:ascii="仿宋" w:hAnsi="仿宋" w:eastAsia="仿宋" w:cs="仿宋"/>
          <w:b/>
          <w:bCs w:val="0"/>
          <w:color w:val="auto"/>
          <w:sz w:val="24"/>
          <w:szCs w:val="22"/>
          <w:lang w:val="en-US" w:eastAsia="zh-CN"/>
        </w:rPr>
        <w:t>3、数据</w:t>
      </w:r>
      <w:r>
        <w:rPr>
          <w:rFonts w:hint="eastAsia" w:ascii="仿宋" w:hAnsi="仿宋" w:eastAsia="仿宋" w:cs="仿宋"/>
          <w:b/>
          <w:bCs w:val="0"/>
          <w:color w:val="auto"/>
          <w:sz w:val="24"/>
          <w:szCs w:val="22"/>
          <w:lang w:eastAsia="zh-CN"/>
        </w:rPr>
        <w:t>存储</w:t>
      </w:r>
    </w:p>
    <w:p w14:paraId="6E7DCFF6">
      <w:pPr>
        <w:numPr>
          <w:ilvl w:val="0"/>
          <w:numId w:val="0"/>
        </w:numPr>
        <w:shd w:val="clear" w:color="auto" w:fill="auto"/>
        <w:adjustRightInd w:val="0"/>
        <w:snapToGrid w:val="0"/>
        <w:spacing w:beforeLines="0" w:afterLines="0" w:line="360" w:lineRule="auto"/>
        <w:ind w:left="420" w:leftChars="200" w:firstLine="0" w:firstLineChars="0"/>
        <w:rPr>
          <w:rFonts w:hint="eastAsia" w:ascii="仿宋" w:hAnsi="仿宋" w:eastAsia="仿宋" w:cs="仿宋"/>
          <w:bCs/>
          <w:color w:val="auto"/>
          <w:sz w:val="24"/>
        </w:rPr>
      </w:pPr>
      <w:r>
        <w:rPr>
          <w:rFonts w:hint="eastAsia" w:ascii="仿宋" w:hAnsi="仿宋" w:eastAsia="仿宋" w:cs="仿宋"/>
          <w:bCs/>
          <w:color w:val="auto"/>
          <w:sz w:val="24"/>
          <w:lang w:eastAsia="zh-CN"/>
        </w:rPr>
        <w:t>（</w:t>
      </w:r>
      <w:r>
        <w:rPr>
          <w:rFonts w:hint="eastAsia" w:ascii="仿宋" w:hAnsi="仿宋" w:eastAsia="仿宋" w:cs="仿宋"/>
          <w:bCs/>
          <w:color w:val="auto"/>
          <w:sz w:val="24"/>
          <w:lang w:val="en-US" w:eastAsia="zh-CN"/>
        </w:rPr>
        <w:t>1</w:t>
      </w:r>
      <w:r>
        <w:rPr>
          <w:rFonts w:hint="eastAsia" w:ascii="仿宋" w:hAnsi="仿宋" w:eastAsia="仿宋" w:cs="仿宋"/>
          <w:bCs/>
          <w:color w:val="auto"/>
          <w:sz w:val="24"/>
          <w:lang w:eastAsia="zh-CN"/>
        </w:rPr>
        <w:t>）乙</w:t>
      </w:r>
      <w:r>
        <w:rPr>
          <w:rFonts w:hint="eastAsia" w:ascii="仿宋" w:hAnsi="仿宋" w:eastAsia="仿宋" w:cs="仿宋"/>
          <w:bCs/>
          <w:color w:val="auto"/>
          <w:sz w:val="24"/>
        </w:rPr>
        <w:t>方应在中国境内（不含港澳台地区）存储</w:t>
      </w:r>
      <w:r>
        <w:rPr>
          <w:rFonts w:hint="eastAsia" w:ascii="仿宋" w:hAnsi="仿宋" w:eastAsia="仿宋" w:cs="仿宋"/>
          <w:bCs/>
          <w:color w:val="auto"/>
          <w:sz w:val="24"/>
          <w:lang w:val="en-US" w:eastAsia="zh-CN"/>
        </w:rPr>
        <w:t>甲方的</w:t>
      </w:r>
      <w:r>
        <w:rPr>
          <w:rFonts w:hint="eastAsia" w:ascii="仿宋" w:hAnsi="仿宋" w:eastAsia="仿宋" w:cs="仿宋"/>
          <w:bCs/>
          <w:color w:val="auto"/>
          <w:sz w:val="24"/>
          <w:lang w:eastAsia="zh-CN"/>
        </w:rPr>
        <w:t>数据</w:t>
      </w:r>
      <w:r>
        <w:rPr>
          <w:rFonts w:hint="eastAsia" w:ascii="仿宋" w:hAnsi="仿宋" w:eastAsia="仿宋" w:cs="仿宋"/>
          <w:bCs/>
          <w:color w:val="auto"/>
          <w:sz w:val="24"/>
        </w:rPr>
        <w:t>。IP地址、服务器（</w:t>
      </w:r>
      <w:r>
        <w:rPr>
          <w:rFonts w:hint="eastAsia" w:ascii="仿宋" w:hAnsi="仿宋" w:eastAsia="仿宋" w:cs="仿宋"/>
          <w:bCs/>
          <w:color w:val="auto"/>
          <w:sz w:val="24"/>
          <w:szCs w:val="22"/>
        </w:rPr>
        <w:t>自有</w:t>
      </w:r>
      <w:r>
        <w:rPr>
          <w:rFonts w:hint="eastAsia" w:ascii="仿宋" w:hAnsi="仿宋" w:eastAsia="仿宋" w:cs="仿宋"/>
          <w:bCs/>
          <w:color w:val="auto"/>
          <w:sz w:val="24"/>
        </w:rPr>
        <w:t>或租用）物理地址也必须在中国境内（不含港澳台地区）。</w:t>
      </w:r>
    </w:p>
    <w:p w14:paraId="41CAF1F0">
      <w:pPr>
        <w:numPr>
          <w:ilvl w:val="0"/>
          <w:numId w:val="0"/>
        </w:numPr>
        <w:shd w:val="clear" w:color="auto" w:fill="auto"/>
        <w:adjustRightInd w:val="0"/>
        <w:snapToGrid w:val="0"/>
        <w:spacing w:beforeLines="0" w:afterLines="0" w:line="360" w:lineRule="auto"/>
        <w:ind w:left="420" w:leftChars="200" w:firstLine="0" w:firstLineChars="0"/>
        <w:rPr>
          <w:rFonts w:hint="eastAsia" w:ascii="仿宋" w:hAnsi="仿宋" w:eastAsia="仿宋" w:cs="仿宋"/>
          <w:bCs/>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2</w:t>
      </w:r>
      <w:r>
        <w:rPr>
          <w:rFonts w:hint="eastAsia" w:ascii="仿宋" w:hAnsi="仿宋" w:eastAsia="仿宋" w:cs="仿宋"/>
          <w:color w:val="auto"/>
          <w:sz w:val="24"/>
          <w:lang w:eastAsia="zh-CN"/>
        </w:rPr>
        <w:t>）未经甲方书面同意，乙方不得留存合作过程中生成的原始个人生物识别信息（如：样本、图像等）。</w:t>
      </w:r>
    </w:p>
    <w:p w14:paraId="363E458A">
      <w:pPr>
        <w:numPr>
          <w:ilvl w:val="0"/>
          <w:numId w:val="0"/>
        </w:numPr>
        <w:shd w:val="clear" w:color="auto" w:fill="auto"/>
        <w:adjustRightInd w:val="0"/>
        <w:snapToGrid w:val="0"/>
        <w:spacing w:beforeLines="0" w:afterLines="0" w:line="360" w:lineRule="auto"/>
        <w:ind w:left="420" w:leftChars="200" w:firstLine="0" w:firstLineChars="0"/>
        <w:rPr>
          <w:rFonts w:hint="eastAsia" w:ascii="仿宋" w:hAnsi="仿宋" w:eastAsia="仿宋" w:cs="仿宋"/>
          <w:bCs/>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3</w:t>
      </w:r>
      <w:r>
        <w:rPr>
          <w:rFonts w:hint="eastAsia" w:ascii="仿宋" w:hAnsi="仿宋" w:eastAsia="仿宋" w:cs="仿宋"/>
          <w:color w:val="auto"/>
          <w:sz w:val="24"/>
          <w:lang w:eastAsia="zh-CN"/>
        </w:rPr>
        <w:t>）</w:t>
      </w:r>
      <w:r>
        <w:rPr>
          <w:rFonts w:hint="eastAsia" w:ascii="仿宋" w:hAnsi="仿宋" w:eastAsia="仿宋" w:cs="仿宋"/>
          <w:color w:val="auto"/>
          <w:sz w:val="24"/>
        </w:rPr>
        <w:t>乙方应对</w:t>
      </w:r>
      <w:r>
        <w:rPr>
          <w:rFonts w:hint="eastAsia" w:ascii="仿宋" w:hAnsi="仿宋" w:eastAsia="仿宋" w:cs="仿宋"/>
          <w:bCs/>
          <w:color w:val="auto"/>
          <w:sz w:val="24"/>
          <w:lang w:val="en-US" w:eastAsia="zh-CN"/>
        </w:rPr>
        <w:t>甲方数据的</w:t>
      </w:r>
      <w:r>
        <w:rPr>
          <w:rFonts w:hint="eastAsia" w:ascii="仿宋" w:hAnsi="仿宋" w:eastAsia="仿宋" w:cs="仿宋"/>
          <w:color w:val="auto"/>
          <w:sz w:val="24"/>
        </w:rPr>
        <w:t>安全性负责，若由于</w:t>
      </w:r>
      <w:r>
        <w:rPr>
          <w:rFonts w:hint="eastAsia" w:ascii="仿宋" w:hAnsi="仿宋" w:eastAsia="仿宋" w:cs="仿宋"/>
          <w:color w:val="auto"/>
          <w:sz w:val="24"/>
          <w:lang w:eastAsia="zh-CN"/>
        </w:rPr>
        <w:t>乙方管理及技术防护措施原因，导致甲方数据泄露、丢失或不可用</w:t>
      </w:r>
      <w:r>
        <w:rPr>
          <w:rFonts w:hint="eastAsia" w:ascii="仿宋" w:hAnsi="仿宋" w:eastAsia="仿宋" w:cs="仿宋"/>
          <w:color w:val="auto"/>
          <w:sz w:val="24"/>
        </w:rPr>
        <w:t>，</w:t>
      </w:r>
      <w:r>
        <w:rPr>
          <w:rFonts w:hint="eastAsia" w:ascii="仿宋" w:hAnsi="仿宋" w:eastAsia="仿宋" w:cs="仿宋"/>
          <w:color w:val="auto"/>
          <w:sz w:val="24"/>
          <w:lang w:eastAsia="zh-CN"/>
        </w:rPr>
        <w:t>由此</w:t>
      </w:r>
      <w:r>
        <w:rPr>
          <w:rFonts w:hint="eastAsia" w:ascii="仿宋" w:hAnsi="仿宋" w:eastAsia="仿宋" w:cs="仿宋"/>
          <w:color w:val="auto"/>
          <w:sz w:val="24"/>
        </w:rPr>
        <w:t>所产生的一切责任</w:t>
      </w:r>
      <w:r>
        <w:rPr>
          <w:rFonts w:hint="eastAsia" w:ascii="仿宋" w:hAnsi="仿宋" w:eastAsia="仿宋" w:cs="仿宋"/>
          <w:color w:val="auto"/>
          <w:sz w:val="24"/>
          <w:lang w:eastAsia="zh-CN"/>
        </w:rPr>
        <w:t>和损失</w:t>
      </w:r>
      <w:r>
        <w:rPr>
          <w:rFonts w:hint="eastAsia" w:ascii="仿宋" w:hAnsi="仿宋" w:eastAsia="仿宋" w:cs="仿宋"/>
          <w:color w:val="auto"/>
          <w:sz w:val="24"/>
        </w:rPr>
        <w:t>由</w:t>
      </w:r>
      <w:r>
        <w:rPr>
          <w:rFonts w:hint="eastAsia" w:ascii="仿宋" w:hAnsi="仿宋" w:eastAsia="仿宋" w:cs="仿宋"/>
          <w:color w:val="auto"/>
          <w:sz w:val="24"/>
          <w:lang w:eastAsia="zh-CN"/>
        </w:rPr>
        <w:t>乙</w:t>
      </w:r>
      <w:r>
        <w:rPr>
          <w:rFonts w:hint="eastAsia" w:ascii="仿宋" w:hAnsi="仿宋" w:eastAsia="仿宋" w:cs="仿宋"/>
          <w:color w:val="auto"/>
          <w:sz w:val="24"/>
        </w:rPr>
        <w:t>方承担。</w:t>
      </w:r>
    </w:p>
    <w:p w14:paraId="1AF072A5">
      <w:pPr>
        <w:numPr>
          <w:ilvl w:val="0"/>
          <w:numId w:val="0"/>
        </w:numPr>
        <w:shd w:val="clear" w:color="auto" w:fill="auto"/>
        <w:adjustRightInd w:val="0"/>
        <w:snapToGrid w:val="0"/>
        <w:spacing w:line="360" w:lineRule="auto"/>
        <w:ind w:leftChars="200" w:firstLine="0" w:firstLineChars="0"/>
        <w:outlineLvl w:val="1"/>
        <w:rPr>
          <w:rFonts w:hint="eastAsia" w:ascii="仿宋" w:hAnsi="仿宋" w:eastAsia="仿宋" w:cs="仿宋"/>
          <w:b/>
          <w:bCs w:val="0"/>
          <w:color w:val="auto"/>
          <w:sz w:val="24"/>
          <w:szCs w:val="22"/>
          <w:lang w:eastAsia="zh-CN"/>
        </w:rPr>
      </w:pPr>
      <w:r>
        <w:rPr>
          <w:rFonts w:hint="eastAsia" w:ascii="仿宋" w:hAnsi="仿宋" w:eastAsia="仿宋" w:cs="仿宋"/>
          <w:b/>
          <w:bCs w:val="0"/>
          <w:color w:val="auto"/>
          <w:sz w:val="24"/>
          <w:szCs w:val="22"/>
          <w:lang w:val="en-US" w:eastAsia="zh-CN"/>
        </w:rPr>
        <w:t>4、数据</w:t>
      </w:r>
      <w:r>
        <w:rPr>
          <w:rFonts w:hint="eastAsia" w:ascii="仿宋" w:hAnsi="仿宋" w:eastAsia="仿宋" w:cs="仿宋"/>
          <w:b/>
          <w:bCs w:val="0"/>
          <w:color w:val="auto"/>
          <w:sz w:val="24"/>
          <w:szCs w:val="22"/>
          <w:lang w:eastAsia="zh-CN"/>
        </w:rPr>
        <w:t>使用</w:t>
      </w:r>
    </w:p>
    <w:p w14:paraId="3032D171">
      <w:pPr>
        <w:widowControl/>
        <w:numPr>
          <w:ilvl w:val="0"/>
          <w:numId w:val="0"/>
        </w:numPr>
        <w:shd w:val="clear" w:color="auto" w:fill="auto"/>
        <w:autoSpaceDE w:val="0"/>
        <w:spacing w:beforeLines="0" w:afterLines="0" w:line="360" w:lineRule="auto"/>
        <w:ind w:left="420" w:leftChars="200" w:firstLine="0" w:firstLineChars="0"/>
        <w:jc w:val="left"/>
        <w:rPr>
          <w:rFonts w:hint="eastAsia" w:ascii="仿宋" w:hAnsi="仿宋" w:eastAsia="仿宋" w:cs="仿宋"/>
          <w:bCs/>
          <w:color w:val="auto"/>
          <w:sz w:val="24"/>
          <w:lang w:val="en-US" w:eastAsia="zh-CN" w:bidi="ar"/>
        </w:rPr>
      </w:pPr>
      <w:r>
        <w:rPr>
          <w:rFonts w:hint="eastAsia" w:ascii="仿宋" w:hAnsi="仿宋" w:eastAsia="仿宋" w:cs="仿宋"/>
          <w:b w:val="0"/>
          <w:bCs/>
          <w:color w:val="auto"/>
          <w:sz w:val="24"/>
          <w:lang w:val="en-US" w:eastAsia="zh-CN"/>
        </w:rPr>
        <w:t>（1）如涉及个人信息的，</w:t>
      </w:r>
      <w:r>
        <w:rPr>
          <w:rFonts w:hint="eastAsia" w:ascii="仿宋" w:hAnsi="仿宋" w:eastAsia="仿宋" w:cs="仿宋"/>
          <w:bCs/>
          <w:color w:val="auto"/>
          <w:sz w:val="24"/>
          <w:lang w:val="en-US" w:eastAsia="zh-CN"/>
        </w:rPr>
        <w:t>乙方应</w:t>
      </w:r>
      <w:r>
        <w:rPr>
          <w:rFonts w:hint="eastAsia" w:ascii="仿宋" w:hAnsi="仿宋" w:eastAsia="仿宋" w:cs="仿宋"/>
          <w:bCs/>
          <w:color w:val="auto"/>
          <w:kern w:val="2"/>
          <w:sz w:val="24"/>
          <w:szCs w:val="24"/>
          <w:lang w:val="en-US" w:eastAsia="zh-CN" w:bidi="ar"/>
        </w:rPr>
        <w:t>严格遵守法律规定，</w:t>
      </w:r>
      <w:r>
        <w:rPr>
          <w:rFonts w:hint="eastAsia" w:ascii="仿宋" w:hAnsi="仿宋" w:eastAsia="仿宋" w:cs="仿宋"/>
          <w:bCs/>
          <w:color w:val="auto"/>
          <w:sz w:val="24"/>
          <w:lang w:val="en-US" w:eastAsia="zh-CN" w:bidi="ar"/>
        </w:rPr>
        <w:t>在本合同约定的处理目的、处理方式和个人信息的种类等范围内处理甲方数据。乙方变更原先的处理目的、处理方式的，应经甲方书面同意。</w:t>
      </w:r>
    </w:p>
    <w:p w14:paraId="1E545FA3">
      <w:pPr>
        <w:widowControl/>
        <w:numPr>
          <w:ilvl w:val="0"/>
          <w:numId w:val="0"/>
        </w:numPr>
        <w:shd w:val="clear" w:color="auto" w:fill="auto"/>
        <w:autoSpaceDE w:val="0"/>
        <w:spacing w:beforeLines="0" w:afterLines="0" w:line="360" w:lineRule="auto"/>
        <w:ind w:left="420" w:leftChars="200" w:firstLine="0" w:firstLineChars="0"/>
        <w:jc w:val="left"/>
        <w:rPr>
          <w:rFonts w:hint="eastAsia" w:ascii="仿宋" w:hAnsi="仿宋" w:eastAsia="仿宋" w:cs="仿宋"/>
          <w:color w:val="auto"/>
          <w:sz w:val="24"/>
          <w:szCs w:val="22"/>
        </w:rPr>
      </w:pPr>
      <w:r>
        <w:rPr>
          <w:rFonts w:hint="eastAsia" w:ascii="仿宋" w:hAnsi="仿宋" w:eastAsia="仿宋" w:cs="仿宋"/>
          <w:bCs/>
          <w:color w:val="auto"/>
          <w:sz w:val="24"/>
          <w:lang w:eastAsia="zh-CN" w:bidi="ar"/>
        </w:rPr>
        <w:t>（</w:t>
      </w:r>
      <w:r>
        <w:rPr>
          <w:rFonts w:hint="eastAsia" w:ascii="仿宋" w:hAnsi="仿宋" w:eastAsia="仿宋" w:cs="仿宋"/>
          <w:bCs/>
          <w:color w:val="auto"/>
          <w:sz w:val="24"/>
          <w:lang w:val="en-US" w:eastAsia="zh-CN" w:bidi="ar"/>
        </w:rPr>
        <w:t>2</w:t>
      </w:r>
      <w:r>
        <w:rPr>
          <w:rFonts w:hint="eastAsia" w:ascii="仿宋" w:hAnsi="仿宋" w:eastAsia="仿宋" w:cs="仿宋"/>
          <w:bCs/>
          <w:color w:val="auto"/>
          <w:sz w:val="24"/>
          <w:lang w:eastAsia="zh-CN" w:bidi="ar"/>
        </w:rPr>
        <w:t>）</w:t>
      </w:r>
      <w:r>
        <w:rPr>
          <w:rFonts w:hint="eastAsia" w:ascii="仿宋" w:hAnsi="仿宋" w:eastAsia="仿宋" w:cs="仿宋"/>
          <w:bCs/>
          <w:color w:val="auto"/>
          <w:sz w:val="24"/>
          <w:lang w:bidi="ar"/>
        </w:rPr>
        <w:t>未经</w:t>
      </w:r>
      <w:r>
        <w:rPr>
          <w:rFonts w:hint="eastAsia" w:ascii="仿宋" w:hAnsi="仿宋" w:eastAsia="仿宋" w:cs="仿宋"/>
          <w:bCs/>
          <w:color w:val="auto"/>
          <w:sz w:val="24"/>
          <w:lang w:eastAsia="zh-CN" w:bidi="ar"/>
        </w:rPr>
        <w:t>甲方</w:t>
      </w:r>
      <w:r>
        <w:rPr>
          <w:rFonts w:hint="eastAsia" w:ascii="仿宋" w:hAnsi="仿宋" w:eastAsia="仿宋" w:cs="仿宋"/>
          <w:bCs/>
          <w:color w:val="auto"/>
          <w:sz w:val="24"/>
          <w:lang w:val="en-US" w:eastAsia="zh-CN" w:bidi="ar"/>
        </w:rPr>
        <w:t>书面</w:t>
      </w:r>
      <w:r>
        <w:rPr>
          <w:rFonts w:hint="eastAsia" w:ascii="仿宋" w:hAnsi="仿宋" w:eastAsia="仿宋" w:cs="仿宋"/>
          <w:bCs/>
          <w:color w:val="auto"/>
          <w:sz w:val="24"/>
          <w:lang w:bidi="ar"/>
        </w:rPr>
        <w:t>同意，</w:t>
      </w:r>
      <w:r>
        <w:rPr>
          <w:rFonts w:hint="eastAsia" w:ascii="仿宋" w:hAnsi="仿宋" w:eastAsia="仿宋" w:cs="仿宋"/>
          <w:bCs/>
          <w:color w:val="auto"/>
          <w:sz w:val="24"/>
          <w:lang w:eastAsia="zh-CN" w:bidi="ar"/>
        </w:rPr>
        <w:t>乙方</w:t>
      </w:r>
      <w:r>
        <w:rPr>
          <w:rFonts w:hint="eastAsia" w:ascii="仿宋" w:hAnsi="仿宋" w:eastAsia="仿宋" w:cs="仿宋"/>
          <w:color w:val="auto"/>
          <w:sz w:val="24"/>
          <w:szCs w:val="24"/>
        </w:rPr>
        <w:t>不得将甲方的数据用于合同外的任何用途。</w:t>
      </w:r>
    </w:p>
    <w:p w14:paraId="01E06D37">
      <w:pPr>
        <w:widowControl/>
        <w:numPr>
          <w:ilvl w:val="0"/>
          <w:numId w:val="0"/>
        </w:numPr>
        <w:shd w:val="clear" w:color="auto" w:fill="auto"/>
        <w:autoSpaceDE w:val="0"/>
        <w:spacing w:beforeLines="0" w:afterLines="0" w:line="360" w:lineRule="auto"/>
        <w:ind w:left="420" w:leftChars="200" w:firstLine="0" w:firstLineChars="0"/>
        <w:jc w:val="left"/>
        <w:rPr>
          <w:rFonts w:hint="eastAsia" w:ascii="仿宋" w:hAnsi="仿宋" w:eastAsia="仿宋" w:cs="仿宋"/>
          <w:color w:val="auto"/>
          <w:sz w:val="24"/>
          <w:szCs w:val="22"/>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3</w:t>
      </w:r>
      <w:r>
        <w:rPr>
          <w:rFonts w:hint="eastAsia" w:ascii="仿宋" w:hAnsi="仿宋" w:eastAsia="仿宋" w:cs="仿宋"/>
          <w:color w:val="auto"/>
          <w:sz w:val="24"/>
          <w:lang w:eastAsia="zh-CN"/>
        </w:rPr>
        <w:t>）</w:t>
      </w:r>
      <w:r>
        <w:rPr>
          <w:rFonts w:hint="eastAsia" w:ascii="仿宋" w:hAnsi="仿宋" w:eastAsia="仿宋" w:cs="仿宋"/>
          <w:color w:val="auto"/>
          <w:sz w:val="24"/>
        </w:rPr>
        <w:t>乙方应对</w:t>
      </w:r>
      <w:r>
        <w:rPr>
          <w:rFonts w:hint="eastAsia" w:ascii="仿宋" w:hAnsi="仿宋" w:eastAsia="仿宋" w:cs="仿宋"/>
          <w:color w:val="auto"/>
          <w:sz w:val="24"/>
          <w:lang w:eastAsia="zh-CN"/>
        </w:rPr>
        <w:t>其员工数据处理</w:t>
      </w:r>
      <w:r>
        <w:rPr>
          <w:rFonts w:hint="eastAsia" w:ascii="仿宋" w:hAnsi="仿宋" w:eastAsia="仿宋" w:cs="仿宋"/>
          <w:color w:val="auto"/>
          <w:sz w:val="24"/>
        </w:rPr>
        <w:t>进行有效管理，</w:t>
      </w:r>
      <w:r>
        <w:rPr>
          <w:rFonts w:hint="eastAsia" w:ascii="仿宋" w:hAnsi="仿宋" w:eastAsia="仿宋" w:cs="仿宋"/>
          <w:color w:val="auto"/>
          <w:sz w:val="24"/>
          <w:lang w:eastAsia="zh-CN"/>
        </w:rPr>
        <w:t>乙方员工涉及甲方数据处理的所有</w:t>
      </w:r>
      <w:r>
        <w:rPr>
          <w:rFonts w:hint="eastAsia" w:ascii="仿宋" w:hAnsi="仿宋" w:eastAsia="仿宋" w:cs="仿宋"/>
          <w:color w:val="auto"/>
          <w:sz w:val="24"/>
        </w:rPr>
        <w:t>行为视同</w:t>
      </w:r>
      <w:r>
        <w:rPr>
          <w:rFonts w:hint="eastAsia" w:ascii="仿宋" w:hAnsi="仿宋" w:eastAsia="仿宋" w:cs="仿宋"/>
          <w:color w:val="auto"/>
          <w:sz w:val="24"/>
          <w:lang w:eastAsia="zh-CN"/>
        </w:rPr>
        <w:t>乙方</w:t>
      </w:r>
      <w:r>
        <w:rPr>
          <w:rFonts w:hint="eastAsia" w:ascii="仿宋" w:hAnsi="仿宋" w:eastAsia="仿宋" w:cs="仿宋"/>
          <w:color w:val="auto"/>
          <w:sz w:val="24"/>
        </w:rPr>
        <w:t>行为</w:t>
      </w:r>
      <w:r>
        <w:rPr>
          <w:rFonts w:hint="eastAsia" w:ascii="仿宋" w:hAnsi="仿宋" w:eastAsia="仿宋" w:cs="仿宋"/>
          <w:bCs/>
          <w:color w:val="auto"/>
          <w:sz w:val="24"/>
          <w:lang w:eastAsia="zh-CN"/>
        </w:rPr>
        <w:t>。</w:t>
      </w:r>
    </w:p>
    <w:p w14:paraId="5E31284D">
      <w:pPr>
        <w:widowControl/>
        <w:numPr>
          <w:ilvl w:val="0"/>
          <w:numId w:val="0"/>
        </w:numPr>
        <w:shd w:val="clear" w:color="auto" w:fill="auto"/>
        <w:autoSpaceDE w:val="0"/>
        <w:spacing w:beforeLines="0" w:afterLines="0" w:line="360" w:lineRule="auto"/>
        <w:ind w:left="420" w:leftChars="200" w:firstLine="0" w:firstLineChars="0"/>
        <w:jc w:val="left"/>
        <w:rPr>
          <w:rFonts w:hint="eastAsia" w:ascii="仿宋" w:hAnsi="仿宋" w:eastAsia="仿宋" w:cs="仿宋"/>
          <w:color w:val="auto"/>
          <w:sz w:val="24"/>
          <w:szCs w:val="22"/>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4</w:t>
      </w:r>
      <w:r>
        <w:rPr>
          <w:rFonts w:hint="eastAsia" w:ascii="仿宋" w:hAnsi="仿宋" w:eastAsia="仿宋" w:cs="仿宋"/>
          <w:color w:val="auto"/>
          <w:sz w:val="24"/>
          <w:lang w:eastAsia="zh-CN"/>
        </w:rPr>
        <w:t>）</w:t>
      </w:r>
      <w:r>
        <w:rPr>
          <w:rFonts w:hint="eastAsia" w:ascii="仿宋" w:hAnsi="仿宋" w:eastAsia="仿宋" w:cs="仿宋"/>
          <w:color w:val="auto"/>
          <w:sz w:val="24"/>
        </w:rPr>
        <w:t>乙方有义务对甲方</w:t>
      </w:r>
      <w:r>
        <w:rPr>
          <w:rFonts w:hint="eastAsia" w:ascii="仿宋" w:hAnsi="仿宋" w:eastAsia="仿宋" w:cs="仿宋"/>
          <w:color w:val="auto"/>
          <w:sz w:val="24"/>
          <w:lang w:val="en-US" w:eastAsia="zh-CN"/>
        </w:rPr>
        <w:t>提供的数据</w:t>
      </w:r>
      <w:r>
        <w:rPr>
          <w:rFonts w:hint="eastAsia" w:ascii="仿宋" w:hAnsi="仿宋" w:eastAsia="仿宋" w:cs="仿宋"/>
          <w:color w:val="auto"/>
          <w:sz w:val="24"/>
        </w:rPr>
        <w:t>，包括根据该</w:t>
      </w:r>
      <w:r>
        <w:rPr>
          <w:rFonts w:hint="eastAsia" w:ascii="仿宋" w:hAnsi="仿宋" w:eastAsia="仿宋" w:cs="仿宋"/>
          <w:color w:val="auto"/>
          <w:sz w:val="24"/>
          <w:lang w:val="en-US" w:eastAsia="zh-CN"/>
        </w:rPr>
        <w:t>数据</w:t>
      </w:r>
      <w:r>
        <w:rPr>
          <w:rFonts w:hint="eastAsia" w:ascii="仿宋" w:hAnsi="仿宋" w:eastAsia="仿宋" w:cs="仿宋"/>
          <w:color w:val="auto"/>
          <w:sz w:val="24"/>
        </w:rPr>
        <w:t>获取的</w:t>
      </w:r>
      <w:r>
        <w:rPr>
          <w:rFonts w:hint="eastAsia" w:ascii="仿宋" w:hAnsi="仿宋" w:eastAsia="仿宋" w:cs="仿宋"/>
          <w:color w:val="auto"/>
          <w:sz w:val="24"/>
          <w:lang w:eastAsia="zh-CN"/>
        </w:rPr>
        <w:t>其他衍生信息</w:t>
      </w:r>
      <w:r>
        <w:rPr>
          <w:rFonts w:hint="eastAsia" w:ascii="仿宋" w:hAnsi="仿宋" w:eastAsia="仿宋" w:cs="仿宋"/>
          <w:color w:val="auto"/>
          <w:sz w:val="24"/>
        </w:rPr>
        <w:t>进行保密</w:t>
      </w:r>
      <w:r>
        <w:rPr>
          <w:rFonts w:hint="eastAsia" w:ascii="仿宋" w:hAnsi="仿宋" w:eastAsia="仿宋" w:cs="仿宋"/>
          <w:color w:val="auto"/>
          <w:sz w:val="24"/>
          <w:lang w:eastAsia="zh-CN"/>
        </w:rPr>
        <w:t>，</w:t>
      </w:r>
      <w:r>
        <w:rPr>
          <w:rFonts w:hint="eastAsia" w:ascii="仿宋" w:hAnsi="仿宋" w:eastAsia="仿宋" w:cs="仿宋"/>
          <w:color w:val="auto"/>
          <w:sz w:val="24"/>
          <w:szCs w:val="22"/>
        </w:rPr>
        <w:t>不得非法买卖、提供或者公开</w:t>
      </w:r>
      <w:r>
        <w:rPr>
          <w:rFonts w:hint="eastAsia" w:ascii="仿宋" w:hAnsi="仿宋" w:eastAsia="仿宋" w:cs="仿宋"/>
          <w:color w:val="auto"/>
          <w:sz w:val="24"/>
          <w:szCs w:val="22"/>
          <w:lang w:val="en-US" w:eastAsia="zh-CN"/>
        </w:rPr>
        <w:t>甲方提供的数据</w:t>
      </w:r>
      <w:r>
        <w:rPr>
          <w:rFonts w:hint="eastAsia" w:ascii="仿宋" w:hAnsi="仿宋" w:eastAsia="仿宋" w:cs="仿宋"/>
          <w:color w:val="auto"/>
          <w:sz w:val="24"/>
          <w:szCs w:val="22"/>
        </w:rPr>
        <w:t>。</w:t>
      </w:r>
    </w:p>
    <w:p w14:paraId="012E9CEF">
      <w:pPr>
        <w:widowControl/>
        <w:numPr>
          <w:ilvl w:val="0"/>
          <w:numId w:val="0"/>
        </w:numPr>
        <w:shd w:val="clear" w:color="auto" w:fill="auto"/>
        <w:autoSpaceDE w:val="0"/>
        <w:spacing w:beforeLines="0" w:afterLines="0" w:line="360" w:lineRule="auto"/>
        <w:ind w:left="420" w:leftChars="200" w:firstLine="0" w:firstLineChars="0"/>
        <w:jc w:val="left"/>
        <w:rPr>
          <w:rFonts w:hint="eastAsia" w:ascii="仿宋" w:hAnsi="仿宋" w:eastAsia="仿宋" w:cs="仿宋"/>
          <w:color w:val="auto"/>
          <w:sz w:val="24"/>
          <w:szCs w:val="22"/>
        </w:rPr>
      </w:pPr>
      <w:r>
        <w:rPr>
          <w:rFonts w:hint="eastAsia" w:ascii="仿宋" w:hAnsi="仿宋" w:eastAsia="仿宋" w:cs="仿宋"/>
          <w:color w:val="auto"/>
          <w:sz w:val="24"/>
          <w:szCs w:val="22"/>
          <w:lang w:eastAsia="zh-CN"/>
        </w:rPr>
        <w:t>（</w:t>
      </w:r>
      <w:r>
        <w:rPr>
          <w:rFonts w:hint="eastAsia" w:ascii="仿宋" w:hAnsi="仿宋" w:eastAsia="仿宋" w:cs="仿宋"/>
          <w:color w:val="auto"/>
          <w:sz w:val="24"/>
          <w:szCs w:val="22"/>
          <w:lang w:val="en-US" w:eastAsia="zh-CN"/>
        </w:rPr>
        <w:t>5</w:t>
      </w:r>
      <w:r>
        <w:rPr>
          <w:rFonts w:hint="eastAsia" w:ascii="仿宋" w:hAnsi="仿宋" w:eastAsia="仿宋" w:cs="仿宋"/>
          <w:color w:val="auto"/>
          <w:sz w:val="24"/>
          <w:szCs w:val="22"/>
          <w:lang w:eastAsia="zh-CN"/>
        </w:rPr>
        <w:t>）</w:t>
      </w:r>
      <w:r>
        <w:rPr>
          <w:rFonts w:hint="eastAsia" w:ascii="仿宋" w:hAnsi="仿宋" w:eastAsia="仿宋" w:cs="仿宋"/>
          <w:color w:val="auto"/>
          <w:sz w:val="24"/>
          <w:szCs w:val="22"/>
        </w:rPr>
        <w:t>乙方不得通过任何数据手段（包括但不限于反向解密）还原用户原始数据。</w:t>
      </w:r>
    </w:p>
    <w:p w14:paraId="7703B11D">
      <w:pPr>
        <w:widowControl/>
        <w:numPr>
          <w:ilvl w:val="0"/>
          <w:numId w:val="0"/>
        </w:numPr>
        <w:shd w:val="clear" w:color="auto" w:fill="auto"/>
        <w:autoSpaceDE w:val="0"/>
        <w:spacing w:beforeLines="0" w:afterLines="0" w:line="360" w:lineRule="auto"/>
        <w:ind w:left="420" w:leftChars="200" w:firstLine="0" w:firstLineChars="0"/>
        <w:jc w:val="left"/>
        <w:rPr>
          <w:rFonts w:hint="eastAsia" w:ascii="仿宋" w:hAnsi="仿宋" w:eastAsia="仿宋" w:cs="仿宋"/>
          <w:color w:val="auto"/>
          <w:sz w:val="24"/>
          <w:szCs w:val="22"/>
        </w:rPr>
      </w:pPr>
      <w:r>
        <w:rPr>
          <w:rFonts w:hint="eastAsia" w:ascii="仿宋" w:hAnsi="仿宋" w:eastAsia="仿宋" w:cs="仿宋"/>
          <w:color w:val="auto"/>
          <w:sz w:val="24"/>
          <w:szCs w:val="22"/>
          <w:lang w:eastAsia="zh-CN"/>
        </w:rPr>
        <w:t>（</w:t>
      </w:r>
      <w:r>
        <w:rPr>
          <w:rFonts w:hint="eastAsia" w:ascii="仿宋" w:hAnsi="仿宋" w:eastAsia="仿宋" w:cs="仿宋"/>
          <w:color w:val="auto"/>
          <w:sz w:val="24"/>
          <w:szCs w:val="22"/>
          <w:lang w:val="en-US" w:eastAsia="zh-CN"/>
        </w:rPr>
        <w:t>6</w:t>
      </w:r>
      <w:r>
        <w:rPr>
          <w:rFonts w:hint="eastAsia" w:ascii="仿宋" w:hAnsi="仿宋" w:eastAsia="仿宋" w:cs="仿宋"/>
          <w:color w:val="auto"/>
          <w:sz w:val="24"/>
          <w:szCs w:val="22"/>
          <w:lang w:eastAsia="zh-CN"/>
        </w:rPr>
        <w:t>）</w:t>
      </w:r>
      <w:r>
        <w:rPr>
          <w:rFonts w:hint="eastAsia" w:ascii="仿宋" w:hAnsi="仿宋" w:eastAsia="仿宋" w:cs="仿宋"/>
          <w:color w:val="auto"/>
          <w:sz w:val="24"/>
          <w:szCs w:val="22"/>
        </w:rPr>
        <w:t>如甲方传输的数据仅限单次验证使用，获取结果后乙方应立即删除全部数据，禁止在本地设备或服务器中留存甲方的用户信息。</w:t>
      </w:r>
    </w:p>
    <w:p w14:paraId="5EC5DB5B">
      <w:pPr>
        <w:widowControl/>
        <w:numPr>
          <w:ilvl w:val="0"/>
          <w:numId w:val="0"/>
        </w:numPr>
        <w:shd w:val="clear" w:color="auto" w:fill="auto"/>
        <w:autoSpaceDE w:val="0"/>
        <w:spacing w:beforeLines="0" w:afterLines="0" w:line="360" w:lineRule="auto"/>
        <w:ind w:left="420" w:leftChars="200" w:firstLine="0" w:firstLineChars="0"/>
        <w:jc w:val="left"/>
        <w:rPr>
          <w:rFonts w:hint="eastAsia" w:ascii="仿宋" w:hAnsi="仿宋" w:eastAsia="仿宋" w:cs="仿宋"/>
          <w:color w:val="auto"/>
          <w:sz w:val="24"/>
          <w:szCs w:val="22"/>
        </w:rPr>
      </w:pPr>
      <w:r>
        <w:rPr>
          <w:rFonts w:hint="eastAsia" w:ascii="仿宋" w:hAnsi="仿宋" w:eastAsia="仿宋" w:cs="仿宋"/>
          <w:color w:val="auto"/>
          <w:sz w:val="24"/>
          <w:szCs w:val="22"/>
          <w:lang w:eastAsia="zh-CN"/>
        </w:rPr>
        <w:t>（</w:t>
      </w:r>
      <w:r>
        <w:rPr>
          <w:rFonts w:hint="eastAsia" w:ascii="仿宋" w:hAnsi="仿宋" w:eastAsia="仿宋" w:cs="仿宋"/>
          <w:color w:val="auto"/>
          <w:sz w:val="24"/>
          <w:szCs w:val="22"/>
          <w:lang w:val="en-US" w:eastAsia="zh-CN"/>
        </w:rPr>
        <w:t>7</w:t>
      </w:r>
      <w:r>
        <w:rPr>
          <w:rFonts w:hint="eastAsia" w:ascii="仿宋" w:hAnsi="仿宋" w:eastAsia="仿宋" w:cs="仿宋"/>
          <w:color w:val="auto"/>
          <w:sz w:val="24"/>
          <w:szCs w:val="22"/>
          <w:lang w:eastAsia="zh-CN"/>
        </w:rPr>
        <w:t>）</w:t>
      </w:r>
      <w:r>
        <w:rPr>
          <w:rFonts w:hint="eastAsia" w:ascii="仿宋" w:hAnsi="仿宋" w:eastAsia="仿宋" w:cs="仿宋"/>
          <w:color w:val="auto"/>
          <w:sz w:val="24"/>
          <w:szCs w:val="22"/>
        </w:rPr>
        <w:t>甲方传输的数据仅用于本合同中约定的目的及使用方式，不得擅自扩散至其他场景，也不得以任何形式（转让、披露、共享等）向第三方提供甲方用户信息。</w:t>
      </w:r>
    </w:p>
    <w:p w14:paraId="780E1A57">
      <w:pPr>
        <w:widowControl w:val="0"/>
        <w:numPr>
          <w:ilvl w:val="0"/>
          <w:numId w:val="0"/>
        </w:numPr>
        <w:shd w:val="clear" w:color="auto" w:fill="auto"/>
        <w:autoSpaceDE/>
        <w:adjustRightInd w:val="0"/>
        <w:snapToGrid w:val="0"/>
        <w:spacing w:line="360" w:lineRule="auto"/>
        <w:ind w:leftChars="200" w:firstLine="0" w:firstLineChars="0"/>
        <w:jc w:val="both"/>
        <w:outlineLvl w:val="1"/>
        <w:rPr>
          <w:rFonts w:hint="eastAsia" w:ascii="仿宋" w:hAnsi="仿宋" w:eastAsia="仿宋" w:cs="仿宋"/>
          <w:b/>
          <w:bCs w:val="0"/>
          <w:color w:val="auto"/>
          <w:sz w:val="24"/>
          <w:szCs w:val="22"/>
          <w:lang w:val="en-US" w:eastAsia="zh-CN"/>
        </w:rPr>
      </w:pPr>
      <w:r>
        <w:rPr>
          <w:rFonts w:hint="eastAsia" w:ascii="仿宋" w:hAnsi="仿宋" w:eastAsia="仿宋" w:cs="仿宋"/>
          <w:b/>
          <w:bCs w:val="0"/>
          <w:color w:val="auto"/>
          <w:sz w:val="24"/>
          <w:szCs w:val="22"/>
          <w:lang w:val="en-US" w:eastAsia="zh-CN"/>
        </w:rPr>
        <w:t>5、数据删除、销毁</w:t>
      </w:r>
    </w:p>
    <w:p w14:paraId="34448119">
      <w:pPr>
        <w:numPr>
          <w:ilvl w:val="0"/>
          <w:numId w:val="0"/>
        </w:numPr>
        <w:shd w:val="clear" w:color="auto" w:fill="auto"/>
        <w:adjustRightInd w:val="0"/>
        <w:snapToGrid w:val="0"/>
        <w:spacing w:beforeLines="0" w:after="100" w:afterLines="0" w:afterAutospacing="1" w:line="400" w:lineRule="exact"/>
        <w:ind w:left="0" w:leftChars="0"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乙方有义务在甲方提出数据返还、删除或销毁的要求后</w:t>
      </w:r>
      <w:r>
        <w:rPr>
          <w:rFonts w:hint="eastAsia" w:ascii="仿宋" w:hAnsi="仿宋" w:eastAsia="仿宋" w:cs="仿宋"/>
          <w:color w:val="auto"/>
          <w:kern w:val="0"/>
          <w:sz w:val="24"/>
          <w:szCs w:val="24"/>
          <w:lang w:eastAsia="zh-CN" w:bidi="ar"/>
        </w:rPr>
        <w:t>或在完成本协议目的后</w:t>
      </w:r>
      <w:r>
        <w:rPr>
          <w:rFonts w:hint="eastAsia" w:ascii="仿宋" w:hAnsi="仿宋" w:eastAsia="仿宋" w:cs="仿宋"/>
          <w:color w:val="auto"/>
          <w:kern w:val="0"/>
          <w:sz w:val="24"/>
          <w:szCs w:val="24"/>
          <w:lang w:val="en-US" w:eastAsia="zh-CN" w:bidi="ar"/>
        </w:rPr>
        <w:t>/本协议终止后/</w:t>
      </w:r>
      <w:r>
        <w:rPr>
          <w:rFonts w:hint="eastAsia" w:ascii="仿宋" w:hAnsi="仿宋" w:eastAsia="仿宋" w:cs="仿宋"/>
          <w:color w:val="auto"/>
          <w:kern w:val="0"/>
          <w:sz w:val="24"/>
          <w:szCs w:val="24"/>
          <w:lang w:bidi="ar"/>
        </w:rPr>
        <w:t>合同结束后</w:t>
      </w:r>
      <w:r>
        <w:rPr>
          <w:rFonts w:hint="eastAsia" w:ascii="仿宋" w:hAnsi="仿宋" w:eastAsia="仿宋" w:cs="仿宋"/>
          <w:color w:val="auto"/>
          <w:kern w:val="0"/>
          <w:sz w:val="24"/>
          <w:szCs w:val="24"/>
          <w:lang w:val="en-US" w:eastAsia="zh-CN" w:bidi="ar"/>
        </w:rPr>
        <w:t>立即</w:t>
      </w:r>
      <w:r>
        <w:rPr>
          <w:rFonts w:hint="eastAsia" w:ascii="仿宋" w:hAnsi="仿宋" w:eastAsia="仿宋" w:cs="仿宋"/>
          <w:color w:val="auto"/>
          <w:kern w:val="0"/>
          <w:sz w:val="24"/>
          <w:szCs w:val="24"/>
          <w:lang w:eastAsia="zh-CN" w:bidi="ar"/>
        </w:rPr>
        <w:t>返还、删除或销毁</w:t>
      </w:r>
      <w:r>
        <w:rPr>
          <w:rFonts w:hint="eastAsia" w:ascii="仿宋" w:hAnsi="仿宋" w:eastAsia="仿宋" w:cs="仿宋"/>
          <w:color w:val="auto"/>
          <w:kern w:val="0"/>
          <w:sz w:val="24"/>
          <w:szCs w:val="24"/>
          <w:lang w:val="en-US" w:eastAsia="zh-CN" w:bidi="ar"/>
        </w:rPr>
        <w:t>甲方所提供的客户信息（包含</w:t>
      </w:r>
      <w:r>
        <w:rPr>
          <w:rFonts w:hint="eastAsia" w:ascii="仿宋" w:hAnsi="仿宋" w:eastAsia="仿宋" w:cs="仿宋"/>
          <w:color w:val="auto"/>
          <w:kern w:val="0"/>
          <w:sz w:val="24"/>
          <w:szCs w:val="24"/>
          <w:lang w:eastAsia="zh-CN" w:bidi="ar"/>
        </w:rPr>
        <w:t>其他衍生信息</w:t>
      </w:r>
      <w:r>
        <w:rPr>
          <w:rFonts w:hint="eastAsia" w:ascii="仿宋" w:hAnsi="仿宋" w:eastAsia="仿宋" w:cs="仿宋"/>
          <w:color w:val="auto"/>
          <w:kern w:val="0"/>
          <w:sz w:val="24"/>
          <w:szCs w:val="24"/>
          <w:lang w:val="en-US" w:eastAsia="zh-CN" w:bidi="ar"/>
        </w:rPr>
        <w:t>），</w:t>
      </w:r>
      <w:r>
        <w:rPr>
          <w:rFonts w:hint="eastAsia" w:ascii="仿宋" w:hAnsi="仿宋" w:eastAsia="仿宋" w:cs="仿宋"/>
          <w:color w:val="auto"/>
          <w:kern w:val="0"/>
          <w:sz w:val="24"/>
          <w:szCs w:val="24"/>
          <w:lang w:eastAsia="zh-CN" w:bidi="ar"/>
        </w:rPr>
        <w:t>并</w:t>
      </w:r>
      <w:r>
        <w:rPr>
          <w:rFonts w:hint="eastAsia" w:ascii="仿宋" w:hAnsi="仿宋" w:eastAsia="仿宋" w:cs="仿宋"/>
          <w:color w:val="auto"/>
          <w:kern w:val="0"/>
          <w:sz w:val="24"/>
          <w:szCs w:val="24"/>
          <w:lang w:val="en-US" w:eastAsia="zh-CN" w:bidi="ar"/>
        </w:rPr>
        <w:t>向甲方提供相关证明材料，</w:t>
      </w:r>
      <w:r>
        <w:rPr>
          <w:rFonts w:hint="eastAsia" w:ascii="仿宋" w:hAnsi="仿宋" w:eastAsia="仿宋" w:cs="仿宋"/>
          <w:color w:val="auto"/>
          <w:kern w:val="0"/>
          <w:sz w:val="24"/>
          <w:szCs w:val="24"/>
          <w:lang w:eastAsia="zh-CN" w:bidi="ar"/>
        </w:rPr>
        <w:t>确保上述信息不可被检索、访问、恢复。</w:t>
      </w:r>
    </w:p>
    <w:p w14:paraId="5C98A999">
      <w:pPr>
        <w:numPr>
          <w:ilvl w:val="0"/>
          <w:numId w:val="0"/>
        </w:numPr>
        <w:shd w:val="clear" w:color="auto" w:fill="auto"/>
        <w:spacing w:line="400" w:lineRule="exact"/>
        <w:ind w:left="420" w:leftChars="0" w:firstLine="0" w:firstLineChars="0"/>
        <w:outlineLvl w:val="0"/>
        <w:rPr>
          <w:rFonts w:hint="default" w:ascii="仿宋" w:hAnsi="仿宋" w:eastAsia="仿宋" w:cs="仿宋"/>
          <w:b/>
          <w:bCs/>
          <w:color w:val="auto"/>
          <w:sz w:val="24"/>
          <w:szCs w:val="24"/>
        </w:rPr>
      </w:pPr>
      <w:r>
        <w:rPr>
          <w:rFonts w:hint="eastAsia" w:ascii="仿宋" w:hAnsi="仿宋" w:eastAsia="仿宋" w:cs="仿宋"/>
          <w:b/>
          <w:bCs/>
          <w:color w:val="auto"/>
          <w:sz w:val="24"/>
          <w:szCs w:val="24"/>
          <w:lang w:val="en-US" w:eastAsia="zh-CN"/>
        </w:rPr>
        <w:t>（五）物理</w:t>
      </w:r>
      <w:r>
        <w:rPr>
          <w:rFonts w:hint="default" w:ascii="仿宋" w:hAnsi="仿宋" w:eastAsia="仿宋" w:cs="仿宋"/>
          <w:b/>
          <w:bCs/>
          <w:color w:val="auto"/>
          <w:sz w:val="24"/>
          <w:szCs w:val="24"/>
        </w:rPr>
        <w:t>安全</w:t>
      </w:r>
    </w:p>
    <w:p w14:paraId="267D1593">
      <w:pPr>
        <w:numPr>
          <w:ilvl w:val="0"/>
          <w:numId w:val="12"/>
        </w:numPr>
        <w:shd w:val="clear" w:color="auto" w:fill="auto"/>
        <w:spacing w:beforeLines="0" w:afterLines="0" w:line="360" w:lineRule="auto"/>
        <w:ind w:lef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涉及存储及处理甲方信息的生产计算机应与办公网络隔离，且不得连接互联网。</w:t>
      </w:r>
    </w:p>
    <w:p w14:paraId="4778FBF7">
      <w:pPr>
        <w:numPr>
          <w:ilvl w:val="0"/>
          <w:numId w:val="12"/>
        </w:numPr>
        <w:shd w:val="clear" w:color="auto" w:fill="auto"/>
        <w:spacing w:beforeLines="0" w:afterLines="0" w:line="36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涉及甲方数据处理的计算机应具备相应的安全控制措施，如封闭USB等输出端口，设置登录密码、屏幕保护等。</w:t>
      </w:r>
    </w:p>
    <w:p w14:paraId="6AD90B76">
      <w:pPr>
        <w:numPr>
          <w:ilvl w:val="0"/>
          <w:numId w:val="12"/>
        </w:numPr>
        <w:shd w:val="clear" w:color="auto" w:fill="auto"/>
        <w:spacing w:beforeLines="0" w:afterLines="0" w:line="36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涉及甲方数据接收、处理的乙方场地应设在全封闭的场地内，进出应有门禁系统。</w:t>
      </w:r>
    </w:p>
    <w:p w14:paraId="54657143">
      <w:pPr>
        <w:numPr>
          <w:ilvl w:val="0"/>
          <w:numId w:val="12"/>
        </w:numPr>
        <w:shd w:val="clear" w:color="auto" w:fill="auto"/>
        <w:spacing w:beforeLines="0" w:afterLines="0" w:line="36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涉及甲方数据接收、处理的乙方场地及出入口必须安装摄像头，且确保监控无死角。</w:t>
      </w:r>
    </w:p>
    <w:p w14:paraId="3D226EDA">
      <w:pPr>
        <w:numPr>
          <w:ilvl w:val="0"/>
          <w:numId w:val="12"/>
        </w:numPr>
        <w:shd w:val="clear" w:color="auto" w:fill="auto"/>
        <w:spacing w:beforeLines="0" w:afterLines="0" w:line="36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录像系统应对这些画面进行24小时不间断的录像，所有的录像资料要根据安全审计要求保留三个月时间。</w:t>
      </w:r>
    </w:p>
    <w:p w14:paraId="4B563BF0">
      <w:pPr>
        <w:numPr>
          <w:ilvl w:val="0"/>
          <w:numId w:val="0"/>
        </w:numPr>
        <w:shd w:val="clear" w:color="auto" w:fill="auto"/>
        <w:spacing w:line="360" w:lineRule="auto"/>
        <w:ind w:left="420" w:leftChars="0" w:firstLine="0" w:firstLineChars="0"/>
        <w:outlineLvl w:val="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（六）外包服务管理</w:t>
      </w:r>
    </w:p>
    <w:p w14:paraId="5968E6DA">
      <w:pPr>
        <w:numPr>
          <w:ilvl w:val="0"/>
          <w:numId w:val="0"/>
        </w:numPr>
        <w:shd w:val="clear" w:color="auto" w:fill="auto"/>
        <w:adjustRightInd w:val="0"/>
        <w:snapToGrid w:val="0"/>
        <w:spacing w:line="360" w:lineRule="auto"/>
        <w:ind w:left="420" w:leftChars="200" w:firstLine="0" w:firstLineChars="0"/>
        <w:outlineLvl w:val="1"/>
        <w:rPr>
          <w:rFonts w:hint="eastAsia" w:ascii="仿宋" w:hAnsi="仿宋" w:eastAsia="仿宋" w:cs="仿宋"/>
          <w:b/>
          <w:bCs/>
          <w:color w:val="auto"/>
          <w:sz w:val="24"/>
          <w:szCs w:val="24"/>
          <w:highlight w:val="none"/>
        </w:rPr>
      </w:pPr>
      <w:r>
        <w:rPr>
          <w:rFonts w:hint="eastAsia" w:ascii="仿宋" w:hAnsi="仿宋" w:eastAsia="仿宋" w:cs="仿宋"/>
          <w:b/>
          <w:bCs w:val="0"/>
          <w:color w:val="auto"/>
          <w:sz w:val="24"/>
          <w:lang w:val="en-US" w:eastAsia="zh-CN"/>
        </w:rPr>
        <w:t>如涉及外包，应按照以下要求执行：</w:t>
      </w:r>
    </w:p>
    <w:p w14:paraId="6C454CF7">
      <w:pPr>
        <w:numPr>
          <w:ilvl w:val="0"/>
          <w:numId w:val="0"/>
        </w:numPr>
        <w:shd w:val="clear" w:color="auto" w:fill="auto"/>
        <w:spacing w:beforeLines="0" w:afterLines="0" w:line="360" w:lineRule="auto"/>
        <w:ind w:left="420" w:leftChars="20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接触或处理甲方</w:t>
      </w:r>
      <w:r>
        <w:rPr>
          <w:rFonts w:hint="eastAsia" w:ascii="仿宋" w:hAnsi="仿宋" w:eastAsia="仿宋" w:cs="仿宋"/>
          <w:color w:val="auto"/>
          <w:sz w:val="24"/>
          <w:szCs w:val="24"/>
          <w:highlight w:val="none"/>
          <w:lang w:eastAsia="zh-CN"/>
        </w:rPr>
        <w:t>数据</w:t>
      </w:r>
      <w:r>
        <w:rPr>
          <w:rFonts w:hint="eastAsia" w:ascii="仿宋" w:hAnsi="仿宋" w:eastAsia="仿宋" w:cs="仿宋"/>
          <w:color w:val="auto"/>
          <w:sz w:val="24"/>
          <w:szCs w:val="24"/>
          <w:highlight w:val="none"/>
        </w:rPr>
        <w:t>的乙方员工须得到</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的授权，除已授权的人员外，其他人员无权访问存储或处理甲方</w:t>
      </w:r>
      <w:r>
        <w:rPr>
          <w:rFonts w:hint="eastAsia" w:ascii="仿宋" w:hAnsi="仿宋" w:eastAsia="仿宋" w:cs="仿宋"/>
          <w:color w:val="auto"/>
          <w:sz w:val="24"/>
          <w:szCs w:val="24"/>
          <w:highlight w:val="none"/>
          <w:lang w:eastAsia="zh-CN"/>
        </w:rPr>
        <w:t>数据</w:t>
      </w:r>
      <w:r>
        <w:rPr>
          <w:rFonts w:hint="eastAsia" w:ascii="仿宋" w:hAnsi="仿宋" w:eastAsia="仿宋" w:cs="仿宋"/>
          <w:color w:val="auto"/>
          <w:sz w:val="24"/>
          <w:szCs w:val="24"/>
          <w:highlight w:val="none"/>
        </w:rPr>
        <w:t>的信息系统及设备</w:t>
      </w:r>
      <w:r>
        <w:rPr>
          <w:rFonts w:hint="eastAsia" w:ascii="仿宋" w:hAnsi="仿宋" w:eastAsia="仿宋" w:cs="仿宋"/>
          <w:color w:val="auto"/>
          <w:sz w:val="24"/>
          <w:szCs w:val="24"/>
          <w:highlight w:val="none"/>
          <w:lang w:eastAsia="zh-CN"/>
        </w:rPr>
        <w:t>。</w:t>
      </w:r>
    </w:p>
    <w:p w14:paraId="436B305E">
      <w:pPr>
        <w:numPr>
          <w:ilvl w:val="0"/>
          <w:numId w:val="0"/>
        </w:numPr>
        <w:shd w:val="clear" w:color="auto" w:fill="auto"/>
        <w:spacing w:beforeLines="0" w:afterLines="0" w:line="360" w:lineRule="auto"/>
        <w:ind w:left="420" w:leftChars="20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乙方需制定接触或处理甲方</w:t>
      </w:r>
      <w:r>
        <w:rPr>
          <w:rFonts w:hint="eastAsia" w:ascii="仿宋" w:hAnsi="仿宋" w:eastAsia="仿宋" w:cs="仿宋"/>
          <w:color w:val="auto"/>
          <w:sz w:val="24"/>
          <w:szCs w:val="24"/>
          <w:highlight w:val="none"/>
          <w:lang w:eastAsia="zh-CN"/>
        </w:rPr>
        <w:t>数据</w:t>
      </w:r>
      <w:r>
        <w:rPr>
          <w:rFonts w:hint="eastAsia" w:ascii="仿宋" w:hAnsi="仿宋" w:eastAsia="仿宋" w:cs="仿宋"/>
          <w:color w:val="auto"/>
          <w:sz w:val="24"/>
          <w:szCs w:val="24"/>
          <w:highlight w:val="none"/>
        </w:rPr>
        <w:t>的人员清单并在业务正式开展前5个工作日报备甲方，在人员清单发生变更时，乙方应在5个工作日内报备甲方</w:t>
      </w:r>
      <w:r>
        <w:rPr>
          <w:rFonts w:hint="eastAsia" w:ascii="仿宋" w:hAnsi="仿宋" w:eastAsia="仿宋" w:cs="仿宋"/>
          <w:color w:val="auto"/>
          <w:sz w:val="24"/>
          <w:szCs w:val="24"/>
          <w:highlight w:val="none"/>
          <w:lang w:eastAsia="zh-CN"/>
        </w:rPr>
        <w:t>。</w:t>
      </w:r>
    </w:p>
    <w:p w14:paraId="01D67E8A">
      <w:pPr>
        <w:numPr>
          <w:ilvl w:val="0"/>
          <w:numId w:val="0"/>
        </w:numPr>
        <w:shd w:val="clear" w:color="auto" w:fill="auto"/>
        <w:spacing w:beforeLines="0" w:afterLines="0" w:line="360" w:lineRule="auto"/>
        <w:ind w:left="420" w:leftChars="20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乙方不得将外包服务转包或变相转包</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乙方不得将外包服务的主要业务分包</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乙方将业务进行分包的，</w:t>
      </w:r>
      <w:r>
        <w:rPr>
          <w:rFonts w:hint="eastAsia" w:ascii="仿宋" w:hAnsi="仿宋" w:eastAsia="仿宋" w:cs="仿宋"/>
          <w:color w:val="auto"/>
          <w:sz w:val="24"/>
          <w:szCs w:val="24"/>
          <w:highlight w:val="none"/>
          <w:lang w:eastAsia="zh-CN"/>
        </w:rPr>
        <w:t>须获得甲方的书面同意，</w:t>
      </w:r>
      <w:r>
        <w:rPr>
          <w:rFonts w:hint="eastAsia" w:ascii="仿宋" w:hAnsi="仿宋" w:eastAsia="仿宋" w:cs="仿宋"/>
          <w:color w:val="auto"/>
          <w:sz w:val="24"/>
          <w:szCs w:val="24"/>
          <w:highlight w:val="none"/>
        </w:rPr>
        <w:t>并</w:t>
      </w:r>
      <w:r>
        <w:rPr>
          <w:rFonts w:hint="eastAsia" w:ascii="仿宋" w:hAnsi="仿宋" w:eastAsia="仿宋" w:cs="仿宋"/>
          <w:color w:val="auto"/>
          <w:sz w:val="24"/>
          <w:szCs w:val="24"/>
          <w:highlight w:val="none"/>
          <w:lang w:eastAsia="zh-CN"/>
        </w:rPr>
        <w:t>须</w:t>
      </w:r>
      <w:r>
        <w:rPr>
          <w:rFonts w:hint="eastAsia" w:ascii="仿宋" w:hAnsi="仿宋" w:eastAsia="仿宋" w:cs="仿宋"/>
          <w:color w:val="auto"/>
          <w:sz w:val="24"/>
          <w:szCs w:val="24"/>
          <w:highlight w:val="none"/>
        </w:rPr>
        <w:t>通过协议确保分包外包商能够严格遵守</w:t>
      </w:r>
      <w:r>
        <w:rPr>
          <w:rFonts w:hint="eastAsia" w:ascii="仿宋" w:hAnsi="仿宋" w:eastAsia="仿宋" w:cs="仿宋"/>
          <w:color w:val="auto"/>
          <w:sz w:val="24"/>
          <w:szCs w:val="24"/>
          <w:highlight w:val="none"/>
          <w:lang w:eastAsia="zh-CN"/>
        </w:rPr>
        <w:t>甲乙双方合同约定的信息安全要求。</w:t>
      </w:r>
    </w:p>
    <w:p w14:paraId="5888A163">
      <w:pPr>
        <w:numPr>
          <w:ilvl w:val="0"/>
          <w:numId w:val="0"/>
        </w:numPr>
        <w:shd w:val="clear" w:color="auto" w:fill="auto"/>
        <w:spacing w:beforeLines="0" w:afterLines="0" w:line="360" w:lineRule="auto"/>
        <w:ind w:left="420" w:leftChars="20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乙方对我行提供的服务资源应当至少与其他机构相互逻辑隔离，仅甲方具有对业务系统和数据的最高访问权限</w:t>
      </w:r>
      <w:r>
        <w:rPr>
          <w:rFonts w:hint="eastAsia" w:ascii="仿宋" w:hAnsi="仿宋" w:eastAsia="仿宋" w:cs="仿宋"/>
          <w:color w:val="auto"/>
          <w:sz w:val="24"/>
          <w:szCs w:val="24"/>
          <w:highlight w:val="none"/>
          <w:lang w:eastAsia="zh-CN"/>
        </w:rPr>
        <w:t>。</w:t>
      </w:r>
    </w:p>
    <w:p w14:paraId="0E96F502">
      <w:pPr>
        <w:numPr>
          <w:ilvl w:val="0"/>
          <w:numId w:val="0"/>
        </w:numPr>
        <w:shd w:val="clear" w:color="auto" w:fill="auto"/>
        <w:spacing w:beforeLines="0" w:afterLines="0" w:line="360" w:lineRule="auto"/>
        <w:ind w:left="420" w:leftChars="20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乙方需建立详细的业务连续性制度，评估甲方项目潜在的业务中断</w:t>
      </w:r>
      <w:r>
        <w:rPr>
          <w:rFonts w:hint="eastAsia" w:ascii="仿宋" w:hAnsi="仿宋" w:eastAsia="仿宋" w:cs="仿宋"/>
          <w:color w:val="auto"/>
          <w:sz w:val="24"/>
          <w:szCs w:val="24"/>
          <w:highlight w:val="none"/>
          <w:lang w:eastAsia="zh-CN"/>
        </w:rPr>
        <w:t>风险</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并</w:t>
      </w:r>
      <w:r>
        <w:rPr>
          <w:rFonts w:hint="eastAsia" w:ascii="仿宋" w:hAnsi="仿宋" w:eastAsia="仿宋" w:cs="仿宋"/>
          <w:color w:val="auto"/>
          <w:sz w:val="24"/>
          <w:szCs w:val="24"/>
          <w:highlight w:val="none"/>
        </w:rPr>
        <w:t>制定业务应急方案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以保障</w:t>
      </w:r>
      <w:r>
        <w:rPr>
          <w:rFonts w:hint="eastAsia" w:ascii="仿宋" w:hAnsi="仿宋" w:eastAsia="仿宋" w:cs="仿宋"/>
          <w:color w:val="auto"/>
          <w:sz w:val="24"/>
          <w:szCs w:val="24"/>
          <w:highlight w:val="none"/>
          <w:lang w:eastAsia="zh-CN"/>
        </w:rPr>
        <w:t>涉及甲方项目的</w:t>
      </w:r>
      <w:r>
        <w:rPr>
          <w:rFonts w:hint="eastAsia" w:ascii="仿宋" w:hAnsi="仿宋" w:eastAsia="仿宋" w:cs="仿宋"/>
          <w:color w:val="auto"/>
          <w:sz w:val="24"/>
          <w:szCs w:val="24"/>
          <w:highlight w:val="none"/>
        </w:rPr>
        <w:t>业务能够持续稳定运行</w:t>
      </w:r>
      <w:r>
        <w:rPr>
          <w:rFonts w:hint="eastAsia" w:ascii="仿宋" w:hAnsi="仿宋" w:eastAsia="仿宋" w:cs="仿宋"/>
          <w:color w:val="auto"/>
          <w:sz w:val="24"/>
          <w:szCs w:val="24"/>
          <w:highlight w:val="none"/>
          <w:lang w:eastAsia="zh-CN"/>
        </w:rPr>
        <w:t>。</w:t>
      </w:r>
    </w:p>
    <w:p w14:paraId="685FDCC4">
      <w:pPr>
        <w:numPr>
          <w:ilvl w:val="0"/>
          <w:numId w:val="0"/>
        </w:numPr>
        <w:shd w:val="clear" w:color="auto" w:fill="auto"/>
        <w:spacing w:line="360" w:lineRule="auto"/>
        <w:ind w:left="0" w:leftChars="0" w:firstLine="482" w:firstLineChars="200"/>
        <w:outlineLvl w:val="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七</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事件管理</w:t>
      </w:r>
    </w:p>
    <w:p w14:paraId="10ADFA25">
      <w:pPr>
        <w:numPr>
          <w:ilvl w:val="0"/>
          <w:numId w:val="13"/>
        </w:numPr>
        <w:shd w:val="clear" w:color="auto" w:fill="auto"/>
        <w:tabs>
          <w:tab w:val="clear" w:pos="425"/>
        </w:tabs>
        <w:spacing w:line="360" w:lineRule="auto"/>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乙方不得开展任何违法违规的数据处理行为。</w:t>
      </w:r>
    </w:p>
    <w:p w14:paraId="0C77B079">
      <w:pPr>
        <w:numPr>
          <w:ilvl w:val="0"/>
          <w:numId w:val="13"/>
        </w:numPr>
        <w:shd w:val="clear" w:color="auto" w:fill="auto"/>
        <w:tabs>
          <w:tab w:val="clear" w:pos="425"/>
        </w:tabs>
        <w:spacing w:line="360" w:lineRule="auto"/>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乙方应制定紧急联系人名单并将名单和联系方式告知甲方，当该名单发生变化时须提前3个工作日书面通知甲方。</w:t>
      </w:r>
    </w:p>
    <w:p w14:paraId="7C54C7D5">
      <w:pPr>
        <w:numPr>
          <w:ilvl w:val="0"/>
          <w:numId w:val="13"/>
        </w:numPr>
        <w:shd w:val="clear" w:color="auto" w:fill="auto"/>
        <w:tabs>
          <w:tab w:val="clear" w:pos="425"/>
        </w:tabs>
        <w:spacing w:line="360" w:lineRule="auto"/>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乙方应制定甲方项目信息安全事故的处理流程，并制定信息安全事故紧急措施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至少每半年进行一次信息安全事故处理流程中各职责执行情况的测试。</w:t>
      </w:r>
    </w:p>
    <w:p w14:paraId="48476ECF">
      <w:pPr>
        <w:numPr>
          <w:ilvl w:val="0"/>
          <w:numId w:val="13"/>
        </w:numPr>
        <w:shd w:val="clear" w:color="auto" w:fill="auto"/>
        <w:tabs>
          <w:tab w:val="clear" w:pos="425"/>
        </w:tabs>
        <w:spacing w:line="360" w:lineRule="auto"/>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乙方若发生信息安全事故，且事故涉及甲方数据，应在事故发生后的一个小时内通知甲方，并尽全力减少事故对甲方造成的影响。</w:t>
      </w:r>
    </w:p>
    <w:p w14:paraId="5AC65D41">
      <w:pPr>
        <w:numPr>
          <w:ilvl w:val="0"/>
          <w:numId w:val="0"/>
        </w:numPr>
        <w:shd w:val="clear" w:color="auto" w:fill="auto"/>
        <w:spacing w:line="360" w:lineRule="auto"/>
        <w:ind w:left="420" w:leftChars="0" w:firstLine="0" w:firstLineChars="0"/>
        <w:outlineLvl w:val="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八</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检查或审计</w:t>
      </w:r>
    </w:p>
    <w:p w14:paraId="633E81D2">
      <w:pPr>
        <w:numPr>
          <w:ilvl w:val="0"/>
          <w:numId w:val="0"/>
        </w:numPr>
        <w:shd w:val="clear" w:color="auto" w:fill="auto"/>
        <w:tabs>
          <w:tab w:val="left" w:pos="425"/>
        </w:tabs>
        <w:spacing w:beforeLines="0" w:afterLines="0" w:line="36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甲方有权对乙方业务开展、合同执行、安全管理等方面进行定期或不定期的检查或审计，乙方有义务配合甲方进行检查或审计的义务。</w:t>
      </w:r>
    </w:p>
    <w:p w14:paraId="1110CAC5">
      <w:pPr>
        <w:numPr>
          <w:ilvl w:val="0"/>
          <w:numId w:val="0"/>
        </w:numPr>
        <w:shd w:val="clear" w:color="auto" w:fill="auto"/>
        <w:tabs>
          <w:tab w:val="left" w:pos="425"/>
        </w:tabs>
        <w:spacing w:beforeLines="0" w:afterLines="0" w:line="360" w:lineRule="auto"/>
        <w:ind w:left="0" w:leftChars="0" w:firstLine="480" w:firstLineChars="200"/>
        <w:rPr>
          <w:rFonts w:hint="eastAsia" w:ascii="仿宋" w:hAnsi="仿宋" w:eastAsia="仿宋" w:cs="仿宋"/>
          <w:color w:val="auto"/>
          <w:sz w:val="24"/>
          <w:szCs w:val="24"/>
        </w:rPr>
      </w:pPr>
      <w:r>
        <w:rPr>
          <w:rFonts w:hint="eastAsia" w:ascii="仿宋_GB2312" w:hAnsi="仿宋_GB2312" w:eastAsia="仿宋_GB2312"/>
          <w:color w:val="auto"/>
          <w:sz w:val="24"/>
          <w:szCs w:val="24"/>
          <w:lang w:val="en-US" w:eastAsia="zh-CN"/>
        </w:rPr>
        <w:t>2.</w:t>
      </w:r>
      <w:r>
        <w:rPr>
          <w:rFonts w:hint="eastAsia" w:ascii="仿宋_GB2312" w:hAnsi="仿宋_GB2312" w:eastAsia="仿宋_GB2312"/>
          <w:color w:val="auto"/>
          <w:sz w:val="24"/>
          <w:szCs w:val="24"/>
        </w:rPr>
        <w:t>乙方有义务配合甲方接受银行业监督管理机构的检查</w:t>
      </w:r>
      <w:r>
        <w:rPr>
          <w:rFonts w:hint="eastAsia" w:ascii="仿宋_GB2312" w:hAnsi="仿宋_GB2312" w:eastAsia="仿宋_GB2312"/>
          <w:color w:val="auto"/>
          <w:sz w:val="24"/>
          <w:szCs w:val="24"/>
          <w:lang w:eastAsia="zh-CN"/>
        </w:rPr>
        <w:t>。</w:t>
      </w:r>
    </w:p>
    <w:p w14:paraId="202114E1">
      <w:pPr>
        <w:numPr>
          <w:ilvl w:val="0"/>
          <w:numId w:val="0"/>
        </w:numPr>
        <w:shd w:val="clear" w:color="auto" w:fill="auto"/>
        <w:tabs>
          <w:tab w:val="left" w:pos="425"/>
        </w:tabs>
        <w:spacing w:beforeLines="0" w:afterLines="0" w:line="360" w:lineRule="auto"/>
        <w:ind w:left="0" w:leftChars="0" w:firstLine="480" w:firstLineChars="200"/>
        <w:rPr>
          <w:rFonts w:hint="eastAsia" w:ascii="仿宋" w:hAnsi="仿宋" w:eastAsia="仿宋" w:cs="仿宋"/>
          <w:color w:val="auto"/>
          <w:sz w:val="24"/>
          <w:szCs w:val="24"/>
        </w:rPr>
      </w:pPr>
      <w:r>
        <w:rPr>
          <w:rFonts w:hint="eastAsia" w:ascii="仿宋_GB2312" w:hAnsi="仿宋_GB2312" w:eastAsia="仿宋_GB2312"/>
          <w:color w:val="auto"/>
          <w:sz w:val="24"/>
          <w:szCs w:val="24"/>
          <w:lang w:val="en-US" w:eastAsia="zh-CN"/>
        </w:rPr>
        <w:t>3.</w:t>
      </w:r>
      <w:r>
        <w:rPr>
          <w:rFonts w:hint="eastAsia" w:ascii="仿宋_GB2312" w:hAnsi="仿宋_GB2312" w:eastAsia="仿宋_GB2312"/>
          <w:color w:val="auto"/>
          <w:sz w:val="24"/>
          <w:szCs w:val="24"/>
        </w:rPr>
        <w:t>乙方对甲方检查或审计中发现的问题</w:t>
      </w:r>
      <w:r>
        <w:rPr>
          <w:rFonts w:hint="default" w:ascii="仿宋_GB2312" w:hAnsi="仿宋_GB2312" w:eastAsia="仿宋_GB2312"/>
          <w:color w:val="auto"/>
          <w:sz w:val="24"/>
          <w:szCs w:val="24"/>
          <w:lang w:val="en-US"/>
        </w:rPr>
        <w:t>有</w:t>
      </w:r>
      <w:r>
        <w:rPr>
          <w:rFonts w:hint="eastAsia" w:ascii="仿宋_GB2312" w:hAnsi="仿宋_GB2312" w:eastAsia="仿宋_GB2312"/>
          <w:color w:val="auto"/>
          <w:sz w:val="24"/>
          <w:szCs w:val="24"/>
        </w:rPr>
        <w:t>以甲方认可的方式实施整改的义务</w:t>
      </w:r>
      <w:r>
        <w:rPr>
          <w:rFonts w:hint="eastAsia" w:ascii="仿宋_GB2312" w:hAnsi="仿宋_GB2312" w:eastAsia="仿宋_GB2312"/>
          <w:color w:val="auto"/>
          <w:sz w:val="24"/>
          <w:szCs w:val="24"/>
          <w:lang w:eastAsia="zh-CN"/>
        </w:rPr>
        <w:t>。</w:t>
      </w:r>
    </w:p>
    <w:p w14:paraId="3DC2B281">
      <w:pPr>
        <w:numPr>
          <w:ilvl w:val="0"/>
          <w:numId w:val="8"/>
        </w:numPr>
        <w:shd w:val="clear" w:color="auto" w:fill="auto"/>
        <w:tabs>
          <w:tab w:val="left" w:pos="425"/>
        </w:tabs>
        <w:spacing w:beforeLines="0" w:afterLines="0" w:line="360" w:lineRule="auto"/>
        <w:ind w:left="0" w:firstLine="480" w:firstLineChars="200"/>
        <w:rPr>
          <w:rFonts w:hint="eastAsia" w:ascii="仿宋" w:hAnsi="仿宋" w:eastAsia="仿宋" w:cs="仿宋"/>
          <w:color w:val="auto"/>
          <w:sz w:val="24"/>
          <w:szCs w:val="24"/>
        </w:rPr>
      </w:pPr>
      <w:r>
        <w:rPr>
          <w:rFonts w:hint="eastAsia" w:ascii="仿宋_GB2312" w:hAnsi="仿宋_GB2312" w:eastAsia="仿宋_GB2312"/>
          <w:color w:val="auto"/>
          <w:sz w:val="24"/>
          <w:szCs w:val="24"/>
          <w:lang w:val="en-US" w:eastAsia="zh-CN"/>
        </w:rPr>
        <w:t>乙方对甲方安全评估中发现的漏洞必须积极配合整改或采用升级方式进行修复，乙方不得收取任何费用，直至完成漏洞修复。</w:t>
      </w:r>
    </w:p>
    <w:p w14:paraId="4B04554B">
      <w:pPr>
        <w:pStyle w:val="2"/>
        <w:numPr>
          <w:ilvl w:val="0"/>
          <w:numId w:val="0"/>
        </w:numPr>
        <w:shd w:val="clear" w:color="auto" w:fill="auto"/>
        <w:spacing w:line="360" w:lineRule="auto"/>
        <w:ind w:left="420" w:firstLine="241" w:firstLineChars="100"/>
        <w:rPr>
          <w:rFonts w:hint="eastAsia"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val="en-US" w:eastAsia="zh-CN"/>
        </w:rPr>
        <w:t>（九）合作退出机制</w:t>
      </w:r>
    </w:p>
    <w:p w14:paraId="7FA4DAF6">
      <w:pPr>
        <w:pStyle w:val="2"/>
        <w:numPr>
          <w:ilvl w:val="0"/>
          <w:numId w:val="0"/>
        </w:numPr>
        <w:shd w:val="clear" w:color="auto" w:fill="auto"/>
        <w:spacing w:line="360" w:lineRule="auto"/>
        <w:ind w:left="420" w:firstLine="0"/>
        <w:rPr>
          <w:rFonts w:hint="eastAsia" w:ascii="仿宋" w:hAnsi="仿宋" w:eastAsia="仿宋" w:cs="仿宋"/>
          <w:b/>
          <w:bCs w:val="0"/>
          <w:i w:val="0"/>
          <w:caps w:val="0"/>
          <w:color w:val="auto"/>
          <w:spacing w:val="0"/>
          <w:sz w:val="24"/>
          <w:szCs w:val="24"/>
          <w:lang w:eastAsia="zh-CN"/>
        </w:rPr>
      </w:pPr>
      <w:r>
        <w:rPr>
          <w:rFonts w:hint="eastAsia" w:ascii="仿宋" w:hAnsi="仿宋" w:eastAsia="仿宋" w:cs="仿宋"/>
          <w:b/>
          <w:bCs w:val="0"/>
          <w:i w:val="0"/>
          <w:caps w:val="0"/>
          <w:color w:val="auto"/>
          <w:spacing w:val="0"/>
          <w:sz w:val="24"/>
          <w:szCs w:val="24"/>
          <w:lang w:val="en-US" w:eastAsia="zh-CN"/>
        </w:rPr>
        <w:t>1.存在以下情形</w:t>
      </w:r>
      <w:r>
        <w:rPr>
          <w:rFonts w:hint="eastAsia" w:ascii="仿宋" w:hAnsi="仿宋" w:eastAsia="仿宋" w:cs="仿宋"/>
          <w:b/>
          <w:bCs w:val="0"/>
          <w:i w:val="0"/>
          <w:caps w:val="0"/>
          <w:color w:val="auto"/>
          <w:spacing w:val="0"/>
          <w:sz w:val="24"/>
          <w:szCs w:val="24"/>
        </w:rPr>
        <w:t>，甲方有权立即单方终止本条款及原合同</w:t>
      </w:r>
      <w:r>
        <w:rPr>
          <w:rFonts w:hint="eastAsia" w:ascii="仿宋" w:hAnsi="仿宋" w:eastAsia="仿宋" w:cs="仿宋"/>
          <w:b/>
          <w:bCs w:val="0"/>
          <w:i w:val="0"/>
          <w:caps w:val="0"/>
          <w:color w:val="auto"/>
          <w:spacing w:val="0"/>
          <w:sz w:val="24"/>
          <w:szCs w:val="24"/>
          <w:lang w:eastAsia="zh-CN"/>
        </w:rPr>
        <w:t>：</w:t>
      </w:r>
    </w:p>
    <w:p w14:paraId="7AA23B06">
      <w:pPr>
        <w:pStyle w:val="2"/>
        <w:numPr>
          <w:ilvl w:val="0"/>
          <w:numId w:val="0"/>
        </w:numPr>
        <w:shd w:val="clear" w:color="auto" w:fill="auto"/>
        <w:spacing w:line="360" w:lineRule="auto"/>
        <w:ind w:firstLine="480" w:firstLineChars="200"/>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（1）乙方未向甲方出具未经甲方书面同意不得抓取甲方数据的承诺函；</w:t>
      </w:r>
    </w:p>
    <w:p w14:paraId="52860F12">
      <w:pPr>
        <w:numPr>
          <w:ilvl w:val="0"/>
          <w:numId w:val="0"/>
        </w:numPr>
        <w:shd w:val="clear" w:color="auto" w:fill="auto"/>
        <w:spacing w:line="360" w:lineRule="auto"/>
        <w:ind w:firstLine="480" w:firstLineChars="200"/>
        <w:rPr>
          <w:rFonts w:hint="eastAsia" w:ascii="仿宋" w:hAnsi="仿宋" w:eastAsia="仿宋" w:cs="仿宋"/>
          <w:bCs/>
          <w:color w:val="auto"/>
          <w:sz w:val="24"/>
          <w:lang w:val="en-US" w:eastAsia="zh-CN"/>
        </w:rPr>
      </w:pPr>
      <w:r>
        <w:rPr>
          <w:rFonts w:hint="eastAsia" w:ascii="仿宋" w:hAnsi="仿宋" w:eastAsia="仿宋" w:cs="仿宋"/>
          <w:bCs/>
          <w:color w:val="auto"/>
          <w:sz w:val="24"/>
          <w:lang w:val="en-US" w:eastAsia="zh-CN"/>
        </w:rPr>
        <w:t>（2）乙方违反合同正文及附件约定及要求的；</w:t>
      </w:r>
    </w:p>
    <w:p w14:paraId="54A99961">
      <w:pPr>
        <w:numPr>
          <w:ilvl w:val="0"/>
          <w:numId w:val="0"/>
        </w:numPr>
        <w:shd w:val="clear" w:color="auto" w:fill="auto"/>
        <w:spacing w:line="360" w:lineRule="auto"/>
        <w:ind w:firstLine="480" w:firstLineChars="200"/>
        <w:rPr>
          <w:rFonts w:hint="eastAsia" w:ascii="仿宋" w:hAnsi="仿宋" w:eastAsia="仿宋" w:cs="仿宋"/>
          <w:bCs/>
          <w:color w:val="auto"/>
          <w:sz w:val="24"/>
          <w:lang w:val="en-US"/>
        </w:rPr>
      </w:pPr>
      <w:r>
        <w:rPr>
          <w:rFonts w:hint="eastAsia" w:ascii="仿宋" w:hAnsi="仿宋" w:eastAsia="仿宋" w:cs="仿宋"/>
          <w:bCs/>
          <w:color w:val="auto"/>
          <w:sz w:val="24"/>
          <w:lang w:val="en-US" w:eastAsia="zh-CN"/>
        </w:rPr>
        <w:t>（3）乙方发生数据泄露事件且在2小时内未有效控制；</w:t>
      </w:r>
    </w:p>
    <w:p w14:paraId="271E7C5F">
      <w:pPr>
        <w:numPr>
          <w:ilvl w:val="0"/>
          <w:numId w:val="0"/>
        </w:numPr>
        <w:shd w:val="clear" w:color="auto" w:fill="auto"/>
        <w:spacing w:line="360" w:lineRule="auto"/>
        <w:ind w:firstLine="480" w:firstLineChars="200"/>
        <w:rPr>
          <w:rFonts w:hint="eastAsia" w:ascii="仿宋" w:hAnsi="仿宋" w:eastAsia="仿宋" w:cs="仿宋"/>
          <w:bCs/>
          <w:color w:val="auto"/>
          <w:sz w:val="24"/>
          <w:lang w:val="en-US"/>
        </w:rPr>
      </w:pPr>
      <w:r>
        <w:rPr>
          <w:rFonts w:hint="eastAsia" w:ascii="仿宋" w:hAnsi="仿宋" w:eastAsia="仿宋" w:cs="仿宋"/>
          <w:bCs/>
          <w:color w:val="auto"/>
          <w:sz w:val="24"/>
          <w:lang w:val="en-US" w:eastAsia="zh-CN"/>
        </w:rPr>
        <w:t>（4）乙方违反数据加密、访问控制等核心安全义务；</w:t>
      </w:r>
    </w:p>
    <w:p w14:paraId="6E41361D">
      <w:pPr>
        <w:numPr>
          <w:ilvl w:val="0"/>
          <w:numId w:val="0"/>
        </w:numPr>
        <w:shd w:val="clear" w:color="auto" w:fill="auto"/>
        <w:spacing w:line="360" w:lineRule="auto"/>
        <w:ind w:firstLine="480" w:firstLineChars="200"/>
        <w:rPr>
          <w:rFonts w:hint="eastAsia" w:ascii="仿宋" w:hAnsi="仿宋" w:eastAsia="仿宋" w:cs="仿宋"/>
          <w:bCs/>
          <w:color w:val="auto"/>
          <w:sz w:val="24"/>
          <w:lang w:val="en-US"/>
        </w:rPr>
      </w:pPr>
      <w:r>
        <w:rPr>
          <w:rFonts w:hint="eastAsia" w:ascii="仿宋" w:hAnsi="仿宋" w:eastAsia="仿宋" w:cs="仿宋"/>
          <w:bCs/>
          <w:color w:val="auto"/>
          <w:sz w:val="24"/>
          <w:lang w:val="en-US" w:eastAsia="zh-CN"/>
        </w:rPr>
        <w:t>（5）乙方擅自将敏感数据转移至未授权第三方；</w:t>
      </w:r>
    </w:p>
    <w:p w14:paraId="3F876B13">
      <w:pPr>
        <w:numPr>
          <w:ilvl w:val="0"/>
          <w:numId w:val="0"/>
        </w:numPr>
        <w:shd w:val="clear" w:color="auto" w:fill="auto"/>
        <w:spacing w:line="360" w:lineRule="auto"/>
        <w:ind w:firstLine="480" w:firstLineChars="200"/>
        <w:rPr>
          <w:rFonts w:hint="eastAsia" w:ascii="仿宋" w:hAnsi="仿宋" w:eastAsia="仿宋" w:cs="仿宋"/>
          <w:bCs/>
          <w:color w:val="auto"/>
          <w:sz w:val="24"/>
          <w:lang w:val="en-US"/>
        </w:rPr>
      </w:pPr>
      <w:r>
        <w:rPr>
          <w:rFonts w:hint="eastAsia" w:ascii="仿宋" w:hAnsi="仿宋" w:eastAsia="仿宋" w:cs="仿宋"/>
          <w:bCs/>
          <w:color w:val="auto"/>
          <w:sz w:val="24"/>
          <w:lang w:val="en-US" w:eastAsia="zh-CN"/>
        </w:rPr>
        <w:t>（6）乙方丧失关键安全认证且在60日内未恢复；</w:t>
      </w:r>
    </w:p>
    <w:p w14:paraId="4F35883A">
      <w:pPr>
        <w:numPr>
          <w:ilvl w:val="0"/>
          <w:numId w:val="0"/>
        </w:numPr>
        <w:shd w:val="clear" w:color="auto" w:fill="auto"/>
        <w:spacing w:line="360" w:lineRule="auto"/>
        <w:ind w:firstLine="480" w:firstLineChars="200"/>
        <w:rPr>
          <w:rFonts w:hint="eastAsia" w:ascii="仿宋" w:hAnsi="仿宋" w:eastAsia="仿宋" w:cs="仿宋"/>
          <w:bCs/>
          <w:color w:val="auto"/>
          <w:sz w:val="24"/>
          <w:lang w:val="en-US"/>
        </w:rPr>
      </w:pPr>
      <w:r>
        <w:rPr>
          <w:rFonts w:hint="eastAsia" w:ascii="仿宋" w:hAnsi="仿宋" w:eastAsia="仿宋" w:cs="仿宋"/>
          <w:bCs/>
          <w:color w:val="auto"/>
          <w:sz w:val="24"/>
          <w:lang w:val="en-US" w:eastAsia="zh-CN"/>
        </w:rPr>
        <w:t>（7）乙方因信息安全违规被监管等机构处罚；</w:t>
      </w:r>
    </w:p>
    <w:p w14:paraId="79D89736">
      <w:pPr>
        <w:numPr>
          <w:ilvl w:val="0"/>
          <w:numId w:val="0"/>
        </w:numPr>
        <w:shd w:val="clear" w:color="auto" w:fill="auto"/>
        <w:spacing w:line="360" w:lineRule="auto"/>
        <w:ind w:firstLine="480" w:firstLineChars="200"/>
        <w:rPr>
          <w:rFonts w:hint="eastAsia" w:ascii="仿宋" w:hAnsi="仿宋" w:eastAsia="仿宋" w:cs="仿宋"/>
          <w:bCs/>
          <w:color w:val="auto"/>
          <w:sz w:val="24"/>
          <w:lang w:val="en-US"/>
        </w:rPr>
      </w:pPr>
      <w:r>
        <w:rPr>
          <w:rFonts w:hint="eastAsia" w:ascii="仿宋" w:hAnsi="仿宋" w:eastAsia="仿宋" w:cs="仿宋"/>
          <w:bCs/>
          <w:color w:val="auto"/>
          <w:sz w:val="24"/>
          <w:lang w:val="en-US" w:eastAsia="zh-CN"/>
        </w:rPr>
        <w:t>（8）乙方因安全防护缺陷（如未及时修复安全漏洞）导致甲方业务连续中断24小时及以上；</w:t>
      </w:r>
    </w:p>
    <w:p w14:paraId="26EB2343">
      <w:pPr>
        <w:shd w:val="clear" w:color="auto" w:fill="auto"/>
        <w:spacing w:line="360" w:lineRule="auto"/>
        <w:ind w:firstLine="482" w:firstLineChars="200"/>
        <w:rPr>
          <w:rFonts w:hint="eastAsia" w:ascii="仿宋" w:hAnsi="仿宋" w:eastAsia="仿宋" w:cs="仿宋"/>
          <w:b/>
          <w:bCs w:val="0"/>
          <w:color w:val="auto"/>
          <w:sz w:val="24"/>
          <w:lang w:val="en-US" w:eastAsia="zh-CN"/>
        </w:rPr>
      </w:pPr>
      <w:r>
        <w:rPr>
          <w:rFonts w:hint="eastAsia" w:ascii="仿宋" w:hAnsi="仿宋" w:eastAsia="仿宋" w:cs="仿宋"/>
          <w:b/>
          <w:bCs w:val="0"/>
          <w:color w:val="auto"/>
          <w:sz w:val="24"/>
          <w:lang w:val="en-US" w:eastAsia="zh-CN"/>
        </w:rPr>
        <w:t>2.终止交接安排</w:t>
      </w:r>
    </w:p>
    <w:p w14:paraId="5D6C8B85">
      <w:pPr>
        <w:numPr>
          <w:ilvl w:val="0"/>
          <w:numId w:val="0"/>
        </w:numPr>
        <w:shd w:val="clear" w:color="auto" w:fill="auto"/>
        <w:spacing w:line="360" w:lineRule="auto"/>
        <w:ind w:firstLine="480" w:firstLineChars="200"/>
        <w:rPr>
          <w:rFonts w:hint="eastAsia" w:ascii="仿宋" w:hAnsi="仿宋" w:eastAsia="仿宋" w:cs="仿宋"/>
          <w:bCs/>
          <w:color w:val="auto"/>
          <w:sz w:val="24"/>
          <w:lang w:val="en-US" w:eastAsia="zh-CN"/>
        </w:rPr>
      </w:pPr>
      <w:r>
        <w:rPr>
          <w:rFonts w:hint="eastAsia" w:ascii="仿宋" w:hAnsi="仿宋" w:eastAsia="仿宋" w:cs="仿宋"/>
          <w:bCs/>
          <w:color w:val="auto"/>
          <w:sz w:val="24"/>
          <w:lang w:val="en-US" w:eastAsia="zh-CN"/>
        </w:rPr>
        <w:t>乙方应将甲方原始数据、衍生数据、解密后数据、备份介质及经处理的匿名化数据集，通过符合国家要求的方式或通过甲方指定的方式传输至甲方；需删除或销毁的，乙方须提供不可恢复性删除的说明报告并提供相关证明材料。</w:t>
      </w:r>
    </w:p>
    <w:p w14:paraId="48E0FD94">
      <w:pPr>
        <w:numPr>
          <w:ilvl w:val="0"/>
          <w:numId w:val="0"/>
        </w:numPr>
        <w:shd w:val="clear" w:color="auto" w:fill="auto"/>
        <w:spacing w:line="360" w:lineRule="auto"/>
        <w:ind w:firstLine="482" w:firstLineChars="200"/>
        <w:rPr>
          <w:rFonts w:hint="eastAsia" w:ascii="仿宋" w:hAnsi="仿宋" w:eastAsia="仿宋" w:cs="仿宋"/>
          <w:b/>
          <w:bCs w:val="0"/>
          <w:color w:val="auto"/>
          <w:sz w:val="24"/>
          <w:lang w:val="en-US" w:eastAsia="zh-CN"/>
        </w:rPr>
      </w:pPr>
      <w:r>
        <w:rPr>
          <w:rFonts w:hint="eastAsia" w:ascii="仿宋" w:hAnsi="仿宋" w:eastAsia="仿宋" w:cs="仿宋"/>
          <w:b/>
          <w:bCs w:val="0"/>
          <w:color w:val="auto"/>
          <w:sz w:val="24"/>
          <w:lang w:val="en-US" w:eastAsia="zh-CN"/>
        </w:rPr>
        <w:t>3.过渡期管理</w:t>
      </w:r>
    </w:p>
    <w:p w14:paraId="69484CD5">
      <w:pPr>
        <w:numPr>
          <w:ilvl w:val="0"/>
          <w:numId w:val="0"/>
        </w:numPr>
        <w:shd w:val="clear" w:color="auto" w:fill="auto"/>
        <w:spacing w:line="360" w:lineRule="auto"/>
        <w:ind w:firstLine="480" w:firstLineChars="200"/>
        <w:rPr>
          <w:rFonts w:hint="eastAsia" w:ascii="仿宋" w:hAnsi="仿宋" w:eastAsia="仿宋" w:cs="仿宋"/>
          <w:bCs/>
          <w:color w:val="auto"/>
          <w:sz w:val="24"/>
          <w:lang w:val="en-US" w:eastAsia="zh-CN"/>
        </w:rPr>
      </w:pPr>
      <w:r>
        <w:rPr>
          <w:rFonts w:hint="eastAsia" w:ascii="仿宋" w:hAnsi="仿宋" w:eastAsia="仿宋" w:cs="仿宋"/>
          <w:bCs/>
          <w:color w:val="auto"/>
          <w:sz w:val="24"/>
          <w:lang w:val="en-US" w:eastAsia="zh-CN"/>
        </w:rPr>
        <w:t>（1）在合同终止前、合作暂停后的期间，乙方须冻结所有非必要数据访问，启动日志全量采集留存；</w:t>
      </w:r>
    </w:p>
    <w:p w14:paraId="620BB9CB">
      <w:pPr>
        <w:numPr>
          <w:ilvl w:val="0"/>
          <w:numId w:val="0"/>
        </w:numPr>
        <w:shd w:val="clear" w:color="auto" w:fill="auto"/>
        <w:spacing w:line="360" w:lineRule="auto"/>
        <w:ind w:firstLine="480" w:firstLineChars="200"/>
        <w:rPr>
          <w:rFonts w:hint="eastAsia" w:ascii="仿宋" w:hAnsi="仿宋" w:eastAsia="仿宋" w:cs="仿宋"/>
          <w:bCs/>
          <w:color w:val="auto"/>
          <w:sz w:val="24"/>
          <w:lang w:val="en-US" w:eastAsia="zh-CN"/>
        </w:rPr>
      </w:pPr>
      <w:r>
        <w:rPr>
          <w:rFonts w:hint="eastAsia" w:ascii="仿宋" w:hAnsi="仿宋" w:eastAsia="仿宋" w:cs="仿宋"/>
          <w:bCs/>
          <w:color w:val="auto"/>
          <w:sz w:val="24"/>
          <w:lang w:val="en-US" w:eastAsia="zh-CN"/>
        </w:rPr>
        <w:t>（2）乙方重建安全访问控制体系，或按甲方要求关闭访问、上传、下载、解密、传输等权限；</w:t>
      </w:r>
    </w:p>
    <w:p w14:paraId="5B3CFFE2">
      <w:pPr>
        <w:numPr>
          <w:ilvl w:val="0"/>
          <w:numId w:val="0"/>
        </w:numPr>
        <w:shd w:val="clear" w:color="auto" w:fill="auto"/>
        <w:spacing w:line="360" w:lineRule="auto"/>
        <w:ind w:firstLine="480" w:firstLineChars="200"/>
        <w:rPr>
          <w:rFonts w:hint="eastAsia" w:ascii="仿宋" w:hAnsi="仿宋" w:eastAsia="仿宋" w:cs="仿宋"/>
          <w:bCs/>
          <w:color w:val="auto"/>
          <w:sz w:val="24"/>
          <w:lang w:val="en-US" w:eastAsia="zh-CN"/>
        </w:rPr>
      </w:pPr>
      <w:r>
        <w:rPr>
          <w:rFonts w:hint="eastAsia" w:ascii="仿宋" w:hAnsi="仿宋" w:eastAsia="仿宋" w:cs="仿宋"/>
          <w:bCs/>
          <w:color w:val="auto"/>
          <w:sz w:val="24"/>
          <w:lang w:val="en-US" w:eastAsia="zh-CN"/>
        </w:rPr>
        <w:t>（3）乙方在合同终止后5个工作日内签署并提交零数据留存承诺书，并接受甲方渗透测试等实验。</w:t>
      </w:r>
    </w:p>
    <w:p w14:paraId="1D10F7C2">
      <w:pPr>
        <w:numPr>
          <w:ilvl w:val="0"/>
          <w:numId w:val="0"/>
        </w:numPr>
        <w:shd w:val="clear" w:color="auto" w:fill="auto"/>
        <w:spacing w:line="360" w:lineRule="auto"/>
        <w:ind w:firstLine="482" w:firstLineChars="200"/>
        <w:rPr>
          <w:rFonts w:hint="eastAsia" w:ascii="仿宋" w:hAnsi="仿宋" w:eastAsia="仿宋" w:cs="仿宋"/>
          <w:b/>
          <w:bCs w:val="0"/>
          <w:color w:val="auto"/>
          <w:sz w:val="24"/>
          <w:lang w:val="en-US" w:eastAsia="zh-CN"/>
        </w:rPr>
      </w:pPr>
      <w:r>
        <w:rPr>
          <w:rFonts w:hint="eastAsia" w:ascii="仿宋" w:hAnsi="仿宋" w:eastAsia="仿宋" w:cs="仿宋"/>
          <w:b/>
          <w:bCs w:val="0"/>
          <w:color w:val="auto"/>
          <w:sz w:val="24"/>
          <w:lang w:val="en-US" w:eastAsia="zh-CN"/>
        </w:rPr>
        <w:t>4.争议解决机制</w:t>
      </w:r>
    </w:p>
    <w:p w14:paraId="05D7CF23">
      <w:pPr>
        <w:numPr>
          <w:ilvl w:val="0"/>
          <w:numId w:val="0"/>
        </w:numPr>
        <w:shd w:val="clear" w:color="auto" w:fill="auto"/>
        <w:spacing w:beforeLines="0" w:afterLines="0" w:line="360" w:lineRule="auto"/>
        <w:ind w:left="0" w:firstLine="480" w:firstLineChars="200"/>
        <w:rPr>
          <w:rFonts w:hint="eastAsia" w:ascii="仿宋" w:hAnsi="仿宋" w:eastAsia="仿宋" w:cs="仿宋"/>
          <w:color w:val="auto"/>
          <w:sz w:val="24"/>
          <w:szCs w:val="24"/>
        </w:rPr>
      </w:pPr>
      <w:r>
        <w:rPr>
          <w:rFonts w:hint="eastAsia" w:ascii="仿宋" w:hAnsi="仿宋" w:eastAsia="仿宋" w:cs="仿宋"/>
          <w:bCs/>
          <w:color w:val="auto"/>
          <w:sz w:val="24"/>
          <w:lang w:val="en-US" w:eastAsia="zh-CN"/>
        </w:rPr>
        <w:t>对数据是否完全销毁或删除存在争议的，双方可委托共同指定的数字取证机构进行审计，费用由乙方承担。</w:t>
      </w:r>
    </w:p>
    <w:p w14:paraId="75E4CF83">
      <w:pPr>
        <w:numPr>
          <w:ilvl w:val="0"/>
          <w:numId w:val="0"/>
        </w:numPr>
        <w:shd w:val="clear" w:color="auto" w:fill="auto"/>
        <w:spacing w:line="360" w:lineRule="auto"/>
        <w:ind w:left="0" w:firstLine="0" w:firstLineChars="0"/>
        <w:outlineLvl w:val="0"/>
        <w:rPr>
          <w:rFonts w:hint="eastAsia" w:ascii="仿宋" w:hAnsi="仿宋" w:eastAsia="仿宋" w:cs="仿宋"/>
          <w:b/>
          <w:bCs/>
          <w:color w:val="auto"/>
          <w:sz w:val="24"/>
          <w:szCs w:val="24"/>
        </w:rPr>
      </w:pPr>
      <w:r>
        <w:rPr>
          <w:rFonts w:hint="eastAsia"/>
          <w:lang w:val="en-US" w:eastAsia="zh-CN"/>
        </w:rPr>
        <w:t xml:space="preserve">   </w:t>
      </w:r>
      <w:r>
        <w:rPr>
          <w:rFonts w:hint="eastAsia" w:ascii="仿宋" w:hAnsi="仿宋" w:eastAsia="仿宋" w:cs="仿宋"/>
          <w:color w:val="auto"/>
          <w:sz w:val="24"/>
          <w:szCs w:val="24"/>
          <w:lang w:val="en-US" w:eastAsia="zh-CN"/>
        </w:rPr>
        <w:t>（十）</w:t>
      </w:r>
      <w:r>
        <w:rPr>
          <w:rFonts w:hint="eastAsia" w:ascii="仿宋" w:hAnsi="仿宋" w:eastAsia="仿宋" w:cs="仿宋"/>
          <w:b/>
          <w:bCs/>
          <w:color w:val="auto"/>
          <w:sz w:val="24"/>
          <w:szCs w:val="24"/>
        </w:rPr>
        <w:t>罚则</w:t>
      </w:r>
    </w:p>
    <w:p w14:paraId="2EE1FCF5">
      <w:pPr>
        <w:numPr>
          <w:ilvl w:val="0"/>
          <w:numId w:val="14"/>
        </w:numPr>
        <w:shd w:val="clear" w:color="auto" w:fill="auto"/>
        <w:adjustRightInd w:val="0"/>
        <w:snapToGrid w:val="0"/>
        <w:spacing w:beforeLines="0" w:afterLines="0" w:line="360" w:lineRule="auto"/>
        <w:ind w:left="0" w:firstLine="482" w:firstLineChars="200"/>
        <w:rPr>
          <w:rFonts w:hint="eastAsia" w:ascii="仿宋" w:hAnsi="仿宋" w:eastAsia="仿宋" w:cs="仿宋"/>
          <w:bCs/>
          <w:color w:val="auto"/>
          <w:sz w:val="24"/>
        </w:rPr>
      </w:pPr>
      <w:r>
        <w:rPr>
          <w:rFonts w:ascii="仿宋" w:hAnsi="仿宋" w:eastAsia="仿宋" w:cs="仿宋"/>
          <w:b/>
          <w:i w:val="0"/>
          <w:caps w:val="0"/>
          <w:color w:val="000000"/>
          <w:spacing w:val="0"/>
          <w:sz w:val="24"/>
          <w:szCs w:val="24"/>
        </w:rPr>
        <w:t>若乙方</w:t>
      </w:r>
      <w:r>
        <w:rPr>
          <w:rFonts w:hint="eastAsia" w:ascii="仿宋" w:hAnsi="仿宋" w:eastAsia="仿宋" w:cs="仿宋"/>
          <w:b/>
          <w:i w:val="0"/>
          <w:caps w:val="0"/>
          <w:color w:val="000000"/>
          <w:spacing w:val="0"/>
          <w:sz w:val="24"/>
          <w:szCs w:val="24"/>
        </w:rPr>
        <w:t>违反本条款约定，甲方有权立即单方终止本合同，乙方须向甲方支付本协议已发生费用20％的违约金或5000元/次（以较高计算），违约金不足</w:t>
      </w:r>
      <w:r>
        <w:rPr>
          <w:rFonts w:hint="eastAsia" w:ascii="仿宋" w:hAnsi="仿宋" w:eastAsia="仿宋" w:cs="仿宋"/>
          <w:b/>
          <w:i w:val="0"/>
          <w:caps w:val="0"/>
          <w:color w:val="000000"/>
          <w:spacing w:val="0"/>
          <w:sz w:val="24"/>
          <w:szCs w:val="24"/>
          <w:lang w:val="en-US" w:eastAsia="zh-CN"/>
        </w:rPr>
        <w:t>甲方</w:t>
      </w:r>
      <w:r>
        <w:rPr>
          <w:rFonts w:hint="eastAsia" w:ascii="仿宋" w:hAnsi="仿宋" w:eastAsia="仿宋" w:cs="仿宋"/>
          <w:b/>
          <w:i w:val="0"/>
          <w:caps w:val="0"/>
          <w:color w:val="000000"/>
          <w:spacing w:val="0"/>
          <w:sz w:val="24"/>
          <w:szCs w:val="24"/>
        </w:rPr>
        <w:t>损失的，乙方应补齐</w:t>
      </w:r>
      <w:r>
        <w:rPr>
          <w:rFonts w:hint="eastAsia" w:ascii="仿宋" w:hAnsi="仿宋" w:eastAsia="仿宋" w:cs="仿宋"/>
          <w:b/>
          <w:i w:val="0"/>
          <w:caps w:val="0"/>
          <w:color w:val="000000"/>
          <w:spacing w:val="0"/>
          <w:sz w:val="24"/>
          <w:szCs w:val="24"/>
          <w:lang w:val="en-US" w:eastAsia="zh-CN"/>
        </w:rPr>
        <w:t>甲方</w:t>
      </w:r>
      <w:r>
        <w:rPr>
          <w:rFonts w:hint="eastAsia" w:ascii="仿宋" w:hAnsi="仿宋" w:eastAsia="仿宋" w:cs="仿宋"/>
          <w:b/>
          <w:i w:val="0"/>
          <w:caps w:val="0"/>
          <w:color w:val="000000"/>
          <w:spacing w:val="0"/>
          <w:sz w:val="24"/>
          <w:szCs w:val="24"/>
        </w:rPr>
        <w:t>剩余损失</w:t>
      </w:r>
      <w:r>
        <w:rPr>
          <w:rFonts w:hint="eastAsia" w:ascii="仿宋" w:hAnsi="仿宋" w:eastAsia="仿宋" w:cs="仿宋"/>
          <w:bCs/>
          <w:color w:val="auto"/>
          <w:sz w:val="24"/>
          <w:lang w:eastAsia="zh-CN"/>
        </w:rPr>
        <w:t>。</w:t>
      </w:r>
    </w:p>
    <w:p w14:paraId="7B56DF35">
      <w:pPr>
        <w:numPr>
          <w:ilvl w:val="0"/>
          <w:numId w:val="14"/>
        </w:numPr>
        <w:shd w:val="clear" w:color="auto" w:fill="auto"/>
        <w:adjustRightInd w:val="0"/>
        <w:snapToGrid w:val="0"/>
        <w:spacing w:beforeLines="0" w:afterLines="0" w:line="360" w:lineRule="auto"/>
        <w:ind w:left="0" w:firstLine="480" w:firstLineChars="200"/>
        <w:rPr>
          <w:rFonts w:hint="eastAsia" w:ascii="仿宋" w:hAnsi="仿宋" w:eastAsia="仿宋" w:cs="仿宋"/>
          <w:bCs/>
          <w:color w:val="auto"/>
          <w:sz w:val="24"/>
        </w:rPr>
      </w:pPr>
      <w:r>
        <w:rPr>
          <w:rFonts w:hint="eastAsia" w:ascii="仿宋" w:hAnsi="仿宋" w:eastAsia="仿宋" w:cs="仿宋"/>
          <w:bCs/>
          <w:color w:val="auto"/>
          <w:sz w:val="24"/>
        </w:rPr>
        <w:t>乙方承诺并保证乙方提供的产品</w:t>
      </w:r>
      <w:r>
        <w:rPr>
          <w:rFonts w:hint="eastAsia" w:ascii="仿宋" w:hAnsi="仿宋" w:eastAsia="仿宋" w:cs="仿宋"/>
          <w:bCs/>
          <w:color w:val="auto"/>
          <w:sz w:val="24"/>
          <w:lang w:val="en-US" w:eastAsia="zh-CN"/>
        </w:rPr>
        <w:t>/</w:t>
      </w:r>
      <w:r>
        <w:rPr>
          <w:rFonts w:hint="eastAsia" w:ascii="仿宋" w:hAnsi="仿宋" w:eastAsia="仿宋" w:cs="仿宋"/>
          <w:bCs/>
          <w:color w:val="auto"/>
          <w:sz w:val="24"/>
        </w:rPr>
        <w:t>服务不会产生信息泄露或其他信息安全风险事件，如发生信息泄露或其他信息安全风险事件的，乙方应及时采取应急措施，避免甲方遭受负面影响，同时甲方有权</w:t>
      </w:r>
      <w:r>
        <w:rPr>
          <w:rFonts w:hint="eastAsia" w:ascii="仿宋" w:hAnsi="仿宋" w:eastAsia="仿宋" w:cs="仿宋"/>
          <w:bCs/>
          <w:color w:val="auto"/>
          <w:sz w:val="24"/>
          <w:lang w:eastAsia="zh-CN"/>
        </w:rPr>
        <w:t>要</w:t>
      </w:r>
      <w:r>
        <w:rPr>
          <w:rFonts w:hint="eastAsia" w:ascii="仿宋" w:hAnsi="仿宋" w:eastAsia="仿宋" w:cs="仿宋"/>
          <w:bCs/>
          <w:color w:val="auto"/>
          <w:sz w:val="24"/>
        </w:rPr>
        <w:t>求乙方对甲方一切损失包括但不限于经济损失、声誉损失等承担</w:t>
      </w:r>
      <w:r>
        <w:rPr>
          <w:rFonts w:hint="eastAsia" w:ascii="仿宋" w:hAnsi="仿宋" w:eastAsia="仿宋" w:cs="仿宋"/>
          <w:bCs/>
          <w:color w:val="auto"/>
          <w:sz w:val="24"/>
          <w:lang w:eastAsia="zh-CN"/>
        </w:rPr>
        <w:t>损失赔偿</w:t>
      </w:r>
      <w:r>
        <w:rPr>
          <w:rFonts w:hint="eastAsia" w:ascii="仿宋" w:hAnsi="仿宋" w:eastAsia="仿宋" w:cs="仿宋"/>
          <w:bCs/>
          <w:color w:val="auto"/>
          <w:sz w:val="24"/>
        </w:rPr>
        <w:t>责任。</w:t>
      </w:r>
    </w:p>
    <w:p w14:paraId="061C06D3">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420" w:leftChars="0" w:right="0" w:rightChars="0" w:firstLine="0" w:firstLineChars="0"/>
        <w:jc w:val="both"/>
        <w:textAlignment w:val="auto"/>
        <w:outlineLvl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（十一）补充条款</w:t>
      </w:r>
    </w:p>
    <w:p w14:paraId="4C5FEEC1">
      <w:pPr>
        <w:keepNext w:val="0"/>
        <w:keepLines w:val="0"/>
        <w:pageBreakBefore w:val="0"/>
        <w:widowControl w:val="0"/>
        <w:numPr>
          <w:ilvl w:val="0"/>
          <w:numId w:val="15"/>
        </w:numPr>
        <w:shd w:val="clear" w:color="auto" w:fill="auto"/>
        <w:kinsoku/>
        <w:wordWrap/>
        <w:overflowPunct/>
        <w:topLinePunct w:val="0"/>
        <w:autoSpaceDE/>
        <w:autoSpaceDN/>
        <w:bidi w:val="0"/>
        <w:adjustRightInd w:val="0"/>
        <w:snapToGrid w:val="0"/>
        <w:spacing w:beforeLines="0" w:afterLines="0" w:line="360" w:lineRule="auto"/>
        <w:ind w:left="0" w:leftChars="0" w:right="0" w:rightChars="0" w:firstLine="480" w:firstLineChars="200"/>
        <w:jc w:val="both"/>
        <w:textAlignment w:val="auto"/>
        <w:outlineLvl w:val="1"/>
        <w:rPr>
          <w:rFonts w:hint="default" w:ascii="仿宋" w:hAnsi="仿宋" w:eastAsia="仿宋" w:cs="仿宋"/>
          <w:b w:val="0"/>
          <w:bCs/>
          <w:color w:val="auto"/>
          <w:sz w:val="24"/>
          <w:lang w:val="en-US" w:eastAsia="zh-CN"/>
        </w:rPr>
      </w:pPr>
      <w:r>
        <w:rPr>
          <w:rFonts w:hint="eastAsia" w:ascii="仿宋" w:hAnsi="仿宋" w:eastAsia="仿宋" w:cs="仿宋"/>
          <w:b w:val="0"/>
          <w:bCs/>
          <w:color w:val="auto"/>
          <w:sz w:val="24"/>
          <w:lang w:val="en-US" w:eastAsia="zh-CN"/>
        </w:rPr>
        <w:t>如</w:t>
      </w:r>
      <w:r>
        <w:rPr>
          <w:rFonts w:hint="default" w:ascii="仿宋" w:hAnsi="仿宋" w:eastAsia="仿宋" w:cs="仿宋"/>
          <w:b w:val="0"/>
          <w:bCs/>
          <w:color w:val="auto"/>
          <w:sz w:val="24"/>
          <w:lang w:val="en-US" w:eastAsia="zh-CN"/>
        </w:rPr>
        <w:t>超出上述条款的，</w:t>
      </w:r>
      <w:r>
        <w:rPr>
          <w:rFonts w:hint="eastAsia" w:ascii="仿宋" w:hAnsi="仿宋" w:eastAsia="仿宋" w:cs="仿宋"/>
          <w:b w:val="0"/>
          <w:bCs/>
          <w:color w:val="auto"/>
          <w:sz w:val="24"/>
          <w:lang w:val="en-US" w:eastAsia="zh-CN"/>
        </w:rPr>
        <w:t>但乙方行为确违反信息安全相关规定或给甲方造成其他损失的，</w:t>
      </w:r>
      <w:r>
        <w:rPr>
          <w:rFonts w:hint="default" w:ascii="仿宋" w:hAnsi="仿宋" w:eastAsia="仿宋" w:cs="仿宋"/>
          <w:b w:val="0"/>
          <w:bCs/>
          <w:color w:val="auto"/>
          <w:sz w:val="24"/>
          <w:lang w:val="en-US" w:eastAsia="zh-CN"/>
        </w:rPr>
        <w:t>参考甲方信息安全标准要求</w:t>
      </w:r>
      <w:r>
        <w:rPr>
          <w:rFonts w:hint="eastAsia" w:ascii="仿宋" w:hAnsi="仿宋" w:eastAsia="仿宋" w:cs="仿宋"/>
          <w:b w:val="0"/>
          <w:bCs/>
          <w:color w:val="auto"/>
          <w:sz w:val="24"/>
          <w:lang w:val="en-US" w:eastAsia="zh-CN"/>
        </w:rPr>
        <w:t>整改。</w:t>
      </w:r>
    </w:p>
    <w:p w14:paraId="52D8A37C">
      <w:pPr>
        <w:keepNext w:val="0"/>
        <w:keepLines w:val="0"/>
        <w:pageBreakBefore w:val="0"/>
        <w:widowControl w:val="0"/>
        <w:numPr>
          <w:ilvl w:val="0"/>
          <w:numId w:val="15"/>
        </w:numPr>
        <w:shd w:val="clear" w:color="auto" w:fill="auto"/>
        <w:kinsoku/>
        <w:wordWrap/>
        <w:overflowPunct/>
        <w:topLinePunct w:val="0"/>
        <w:autoSpaceDE/>
        <w:autoSpaceDN/>
        <w:bidi w:val="0"/>
        <w:adjustRightInd w:val="0"/>
        <w:snapToGrid w:val="0"/>
        <w:spacing w:beforeLines="0" w:afterLines="0" w:line="360" w:lineRule="auto"/>
        <w:ind w:left="0" w:leftChars="0" w:right="0" w:rightChars="0" w:firstLine="480" w:firstLineChars="200"/>
        <w:jc w:val="both"/>
        <w:textAlignment w:val="auto"/>
        <w:outlineLvl w:val="1"/>
        <w:rPr>
          <w:rFonts w:hint="default" w:ascii="仿宋" w:hAnsi="仿宋" w:eastAsia="仿宋" w:cs="仿宋"/>
          <w:b w:val="0"/>
          <w:bCs/>
          <w:color w:val="auto"/>
          <w:sz w:val="24"/>
          <w:lang w:val="en-US" w:eastAsia="zh-CN"/>
        </w:rPr>
      </w:pPr>
      <w:r>
        <w:rPr>
          <w:rFonts w:hint="eastAsia" w:ascii="仿宋" w:hAnsi="仿宋" w:eastAsia="仿宋" w:cs="仿宋"/>
          <w:b w:val="0"/>
          <w:bCs/>
          <w:color w:val="auto"/>
          <w:sz w:val="24"/>
          <w:lang w:val="en-US" w:eastAsia="zh-CN"/>
        </w:rPr>
        <w:t>个人信息的定义</w:t>
      </w:r>
    </w:p>
    <w:p w14:paraId="1075AA6A">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仿宋" w:hAnsi="仿宋" w:eastAsia="仿宋" w:cs="仿宋"/>
          <w:b w:val="0"/>
          <w:bCs/>
          <w:color w:val="auto"/>
          <w:sz w:val="24"/>
          <w:lang w:val="en-US" w:eastAsia="zh-CN"/>
        </w:rPr>
      </w:pPr>
      <w:r>
        <w:rPr>
          <w:rFonts w:hint="eastAsia" w:ascii="仿宋" w:hAnsi="仿宋" w:eastAsia="仿宋" w:cs="仿宋"/>
          <w:b w:val="0"/>
          <w:bCs/>
          <w:color w:val="auto"/>
          <w:sz w:val="24"/>
          <w:lang w:val="en-US" w:eastAsia="zh-CN"/>
        </w:rPr>
        <w:t>以电子或者其他方式记录的能够单独或者与其他信息结合识别特定自然人身份或者反映特定自然人活动情况的各种信息，包括姓名、出生日期、身份证件号码、个人生物识别信息、住址、通信通讯联系方式、通信记录和内容、账号密码、财产信息、征信信息、行踪轨迹、住宿信息、健康生理信息、交易信息等。</w:t>
      </w:r>
    </w:p>
    <w:p w14:paraId="13CDBF6A">
      <w:pPr>
        <w:numPr>
          <w:ilvl w:val="0"/>
          <w:numId w:val="0"/>
        </w:numPr>
        <w:shd w:val="clear" w:color="auto" w:fill="auto"/>
        <w:adjustRightInd w:val="0"/>
        <w:snapToGrid w:val="0"/>
        <w:spacing w:beforeLines="0" w:afterLines="0" w:line="400" w:lineRule="exact"/>
        <w:ind w:left="420" w:leftChars="200" w:firstLine="0" w:firstLineChars="0"/>
        <w:outlineLvl w:val="1"/>
        <w:rPr>
          <w:rFonts w:hint="eastAsia"/>
          <w:lang w:val="en-US" w:eastAsia="zh-CN"/>
        </w:rPr>
      </w:pPr>
      <w:r>
        <w:rPr>
          <w:rFonts w:hint="eastAsia" w:ascii="仿宋" w:hAnsi="仿宋" w:eastAsia="仿宋" w:cs="仿宋"/>
          <w:b w:val="0"/>
          <w:bCs/>
          <w:color w:val="auto"/>
          <w:sz w:val="24"/>
          <w:szCs w:val="22"/>
          <w:highlight w:val="none"/>
          <w:lang w:val="en-US" w:eastAsia="zh-CN"/>
        </w:rPr>
        <w:t>3.本协议中涉及的个人信息包括：</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5"/>
        <w:gridCol w:w="1461"/>
        <w:gridCol w:w="1730"/>
        <w:gridCol w:w="1206"/>
      </w:tblGrid>
      <w:tr w14:paraId="397DA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5" w:type="dxa"/>
            <w:noWrap w:val="0"/>
            <w:vAlign w:val="top"/>
          </w:tcPr>
          <w:p w14:paraId="75373464">
            <w:pPr>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val="0"/>
              <w:snapToGrid w:val="0"/>
              <w:spacing w:before="0" w:beforeLines="0" w:beforeAutospacing="0" w:after="0" w:afterLines="0" w:afterAutospacing="0" w:line="360" w:lineRule="auto"/>
              <w:ind w:left="0" w:right="0" w:rightChars="0"/>
              <w:jc w:val="center"/>
              <w:textAlignment w:val="auto"/>
              <w:outlineLvl w:val="9"/>
              <w:rPr>
                <w:rFonts w:hint="eastAsia" w:ascii="仿宋" w:hAnsi="仿宋" w:eastAsia="仿宋" w:cs="仿宋"/>
                <w:b w:val="0"/>
                <w:bCs/>
                <w:color w:val="auto"/>
                <w:sz w:val="24"/>
                <w:szCs w:val="22"/>
                <w:u w:val="none"/>
                <w:vertAlign w:val="baseline"/>
                <w:lang w:val="en-US" w:eastAsia="zh-CN"/>
              </w:rPr>
            </w:pPr>
            <w:r>
              <w:rPr>
                <w:rFonts w:hint="eastAsia" w:ascii="仿宋" w:hAnsi="仿宋" w:eastAsia="仿宋" w:cs="仿宋"/>
                <w:b w:val="0"/>
                <w:bCs/>
                <w:color w:val="auto"/>
                <w:sz w:val="24"/>
                <w:szCs w:val="22"/>
                <w:u w:val="none"/>
                <w:vertAlign w:val="baseline"/>
                <w:lang w:val="en-US" w:eastAsia="zh-CN"/>
              </w:rPr>
              <w:t>信息字段</w:t>
            </w:r>
          </w:p>
        </w:tc>
        <w:tc>
          <w:tcPr>
            <w:tcW w:w="1461" w:type="dxa"/>
            <w:noWrap w:val="0"/>
            <w:vAlign w:val="top"/>
          </w:tcPr>
          <w:p w14:paraId="30A11D19">
            <w:pPr>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val="0"/>
              <w:snapToGrid w:val="0"/>
              <w:spacing w:before="0" w:beforeLines="0" w:beforeAutospacing="0" w:after="0" w:afterLines="0" w:afterAutospacing="0" w:line="360" w:lineRule="auto"/>
              <w:ind w:left="0" w:right="0" w:rightChars="0"/>
              <w:jc w:val="center"/>
              <w:textAlignment w:val="auto"/>
              <w:outlineLvl w:val="9"/>
              <w:rPr>
                <w:rFonts w:hint="eastAsia" w:ascii="仿宋" w:hAnsi="仿宋" w:eastAsia="仿宋" w:cs="仿宋"/>
                <w:b w:val="0"/>
                <w:bCs/>
                <w:color w:val="auto"/>
                <w:sz w:val="24"/>
                <w:szCs w:val="22"/>
                <w:u w:val="none"/>
                <w:vertAlign w:val="baseline"/>
                <w:lang w:val="en-US" w:eastAsia="zh-CN"/>
              </w:rPr>
            </w:pPr>
            <w:r>
              <w:rPr>
                <w:rFonts w:hint="eastAsia" w:ascii="仿宋" w:hAnsi="仿宋" w:eastAsia="仿宋" w:cs="仿宋"/>
                <w:b w:val="0"/>
                <w:bCs/>
                <w:color w:val="auto"/>
                <w:sz w:val="24"/>
                <w:szCs w:val="22"/>
                <w:u w:val="none"/>
                <w:vertAlign w:val="baseline"/>
                <w:lang w:val="en-US" w:eastAsia="zh-CN"/>
              </w:rPr>
              <w:t>信息提供方</w:t>
            </w:r>
          </w:p>
        </w:tc>
        <w:tc>
          <w:tcPr>
            <w:tcW w:w="1730" w:type="dxa"/>
            <w:noWrap w:val="0"/>
            <w:vAlign w:val="top"/>
          </w:tcPr>
          <w:p w14:paraId="5A3C775F">
            <w:pPr>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val="0"/>
              <w:snapToGrid w:val="0"/>
              <w:spacing w:before="0" w:beforeLines="0" w:beforeAutospacing="0" w:after="0" w:afterLines="0" w:afterAutospacing="0" w:line="360" w:lineRule="auto"/>
              <w:ind w:left="0" w:right="0" w:rightChars="0"/>
              <w:jc w:val="center"/>
              <w:textAlignment w:val="auto"/>
              <w:outlineLvl w:val="9"/>
              <w:rPr>
                <w:rFonts w:hint="eastAsia" w:ascii="仿宋" w:hAnsi="仿宋" w:eastAsia="仿宋" w:cs="仿宋"/>
                <w:b w:val="0"/>
                <w:bCs/>
                <w:color w:val="auto"/>
                <w:sz w:val="24"/>
                <w:szCs w:val="22"/>
                <w:u w:val="none"/>
                <w:vertAlign w:val="baseline"/>
                <w:lang w:val="en-US" w:eastAsia="zh-CN"/>
              </w:rPr>
            </w:pPr>
            <w:r>
              <w:rPr>
                <w:rFonts w:hint="eastAsia" w:ascii="仿宋" w:hAnsi="仿宋" w:eastAsia="仿宋" w:cs="仿宋"/>
                <w:b w:val="0"/>
                <w:bCs/>
                <w:color w:val="auto"/>
                <w:sz w:val="24"/>
                <w:szCs w:val="22"/>
                <w:u w:val="none"/>
                <w:vertAlign w:val="baseline"/>
                <w:lang w:val="en-US" w:eastAsia="zh-CN"/>
              </w:rPr>
              <w:t>处理目的</w:t>
            </w:r>
          </w:p>
        </w:tc>
        <w:tc>
          <w:tcPr>
            <w:tcW w:w="1206" w:type="dxa"/>
            <w:noWrap w:val="0"/>
            <w:vAlign w:val="top"/>
          </w:tcPr>
          <w:p w14:paraId="54DCD56C">
            <w:pPr>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val="0"/>
              <w:snapToGrid w:val="0"/>
              <w:spacing w:before="0" w:beforeLines="0" w:beforeAutospacing="0" w:after="0" w:afterLines="0" w:afterAutospacing="0" w:line="360" w:lineRule="auto"/>
              <w:ind w:left="0" w:right="0" w:rightChars="0"/>
              <w:jc w:val="center"/>
              <w:textAlignment w:val="auto"/>
              <w:outlineLvl w:val="9"/>
              <w:rPr>
                <w:rFonts w:hint="eastAsia" w:ascii="仿宋" w:hAnsi="仿宋" w:eastAsia="仿宋" w:cs="仿宋"/>
                <w:b w:val="0"/>
                <w:bCs/>
                <w:color w:val="auto"/>
                <w:sz w:val="24"/>
                <w:szCs w:val="22"/>
                <w:u w:val="none"/>
                <w:vertAlign w:val="baseline"/>
                <w:lang w:val="en-US" w:eastAsia="zh-CN"/>
              </w:rPr>
            </w:pPr>
            <w:r>
              <w:rPr>
                <w:rFonts w:hint="eastAsia" w:ascii="仿宋" w:hAnsi="仿宋" w:eastAsia="仿宋" w:cs="仿宋"/>
                <w:b w:val="0"/>
                <w:bCs/>
                <w:color w:val="auto"/>
                <w:sz w:val="24"/>
                <w:szCs w:val="22"/>
                <w:u w:val="none"/>
                <w:vertAlign w:val="baseline"/>
                <w:lang w:val="en-US" w:eastAsia="zh-CN"/>
              </w:rPr>
              <w:t>处理方式</w:t>
            </w:r>
          </w:p>
        </w:tc>
      </w:tr>
      <w:tr w14:paraId="709C1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5" w:type="dxa"/>
            <w:noWrap w:val="0"/>
            <w:vAlign w:val="top"/>
          </w:tcPr>
          <w:p w14:paraId="29D77F75">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40" w:lineRule="auto"/>
              <w:ind w:left="0" w:right="0" w:rightChars="0"/>
              <w:jc w:val="left"/>
              <w:textAlignment w:val="center"/>
              <w:outlineLvl w:val="9"/>
              <w:rPr>
                <w:rFonts w:hint="eastAsia" w:ascii="仿宋" w:hAnsi="仿宋" w:eastAsia="仿宋" w:cs="仿宋"/>
                <w:b w:val="0"/>
                <w:bCs/>
                <w:color w:val="auto"/>
                <w:sz w:val="24"/>
                <w:szCs w:val="22"/>
                <w:u w:val="none"/>
                <w:vertAlign w:val="baseline"/>
                <w:lang w:val="en-US" w:eastAsia="zh-CN"/>
              </w:rPr>
            </w:pPr>
            <w:r>
              <w:rPr>
                <w:rFonts w:hint="eastAsia" w:ascii="仿宋" w:hAnsi="仿宋" w:eastAsia="仿宋" w:cs="仿宋"/>
                <w:i w:val="0"/>
                <w:color w:val="000000"/>
                <w:kern w:val="0"/>
                <w:sz w:val="21"/>
                <w:szCs w:val="21"/>
                <w:highlight w:val="none"/>
                <w:u w:val="none"/>
                <w:lang w:val="en-US" w:eastAsia="zh-CN" w:bidi="ar"/>
              </w:rPr>
              <w:t>（1）客户在开卡或用卡过程中提供的姓名、证件号码、电话、地址、邮箱及财产类信息；</w:t>
            </w:r>
          </w:p>
        </w:tc>
        <w:tc>
          <w:tcPr>
            <w:tcW w:w="1461" w:type="dxa"/>
            <w:noWrap w:val="0"/>
            <w:vAlign w:val="top"/>
          </w:tcPr>
          <w:p w14:paraId="5B487F9C">
            <w:pPr>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val="0"/>
              <w:snapToGrid w:val="0"/>
              <w:spacing w:before="0" w:beforeLines="0" w:beforeAutospacing="0" w:after="0" w:afterLines="0" w:afterAutospacing="0" w:line="360" w:lineRule="auto"/>
              <w:ind w:left="0" w:right="0" w:rightChars="0"/>
              <w:jc w:val="both"/>
              <w:textAlignment w:val="auto"/>
              <w:outlineLvl w:val="9"/>
              <w:rPr>
                <w:rFonts w:hint="default" w:ascii="仿宋" w:hAnsi="仿宋" w:eastAsia="仿宋" w:cs="仿宋"/>
                <w:b w:val="0"/>
                <w:bCs/>
                <w:color w:val="auto"/>
                <w:sz w:val="24"/>
                <w:szCs w:val="22"/>
                <w:u w:val="none"/>
                <w:vertAlign w:val="baseline"/>
                <w:lang w:val="en-US" w:eastAsia="zh-CN"/>
              </w:rPr>
            </w:pPr>
            <w:r>
              <w:rPr>
                <w:rFonts w:hint="eastAsia" w:ascii="仿宋" w:hAnsi="仿宋" w:eastAsia="仿宋" w:cs="仿宋"/>
                <w:b w:val="0"/>
                <w:bCs/>
                <w:color w:val="auto"/>
                <w:sz w:val="24"/>
                <w:szCs w:val="22"/>
                <w:u w:val="none"/>
                <w:vertAlign w:val="baseline"/>
                <w:lang w:val="en-US" w:eastAsia="zh-CN"/>
              </w:rPr>
              <w:t>甲方</w:t>
            </w:r>
          </w:p>
        </w:tc>
        <w:tc>
          <w:tcPr>
            <w:tcW w:w="1730" w:type="dxa"/>
            <w:noWrap w:val="0"/>
            <w:vAlign w:val="top"/>
          </w:tcPr>
          <w:p w14:paraId="462E8370">
            <w:pPr>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val="0"/>
              <w:snapToGrid w:val="0"/>
              <w:spacing w:before="0" w:beforeLines="0" w:beforeAutospacing="0" w:after="0" w:afterLines="0" w:afterAutospacing="0" w:line="360" w:lineRule="auto"/>
              <w:ind w:left="0" w:right="0" w:rightChars="0"/>
              <w:jc w:val="both"/>
              <w:textAlignment w:val="auto"/>
              <w:outlineLvl w:val="9"/>
              <w:rPr>
                <w:rFonts w:hint="eastAsia" w:ascii="仿宋" w:hAnsi="仿宋" w:eastAsia="仿宋" w:cs="仿宋"/>
                <w:b w:val="0"/>
                <w:bCs/>
                <w:color w:val="auto"/>
                <w:sz w:val="24"/>
                <w:szCs w:val="22"/>
                <w:u w:val="none"/>
                <w:vertAlign w:val="baseline"/>
                <w:lang w:val="en-US" w:eastAsia="zh-CN"/>
              </w:rPr>
            </w:pPr>
            <w:r>
              <w:rPr>
                <w:rFonts w:hint="eastAsia" w:ascii="仿宋" w:hAnsi="仿宋" w:eastAsia="仿宋" w:cs="仿宋"/>
                <w:i w:val="0"/>
                <w:color w:val="000000"/>
                <w:kern w:val="0"/>
                <w:sz w:val="21"/>
                <w:szCs w:val="21"/>
                <w:highlight w:val="none"/>
                <w:u w:val="none"/>
                <w:lang w:val="en-US" w:eastAsia="zh-CN" w:bidi="ar"/>
              </w:rPr>
              <w:t>催缴应还款项</w:t>
            </w:r>
          </w:p>
        </w:tc>
        <w:tc>
          <w:tcPr>
            <w:tcW w:w="1206" w:type="dxa"/>
            <w:noWrap w:val="0"/>
            <w:vAlign w:val="top"/>
          </w:tcPr>
          <w:p w14:paraId="5DAF48D2">
            <w:pPr>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val="0"/>
              <w:snapToGrid w:val="0"/>
              <w:spacing w:before="0" w:beforeLines="0" w:beforeAutospacing="0" w:after="0" w:afterLines="0" w:afterAutospacing="0" w:line="360" w:lineRule="auto"/>
              <w:ind w:left="0" w:right="0" w:rightChars="0"/>
              <w:jc w:val="both"/>
              <w:textAlignment w:val="auto"/>
              <w:outlineLvl w:val="9"/>
              <w:rPr>
                <w:rFonts w:hint="default" w:ascii="仿宋" w:hAnsi="仿宋" w:eastAsia="仿宋" w:cs="仿宋"/>
                <w:b w:val="0"/>
                <w:bCs/>
                <w:color w:val="auto"/>
                <w:sz w:val="24"/>
                <w:szCs w:val="22"/>
                <w:u w:val="none"/>
                <w:vertAlign w:val="baseline"/>
                <w:lang w:val="en-US" w:eastAsia="zh-CN"/>
              </w:rPr>
            </w:pPr>
            <w:r>
              <w:rPr>
                <w:rFonts w:hint="eastAsia" w:ascii="仿宋" w:hAnsi="仿宋" w:eastAsia="仿宋" w:cs="仿宋"/>
                <w:b w:val="0"/>
                <w:bCs/>
                <w:color w:val="auto"/>
                <w:sz w:val="24"/>
                <w:szCs w:val="22"/>
                <w:u w:val="none"/>
                <w:vertAlign w:val="baseline"/>
                <w:lang w:val="en-US" w:eastAsia="zh-CN"/>
              </w:rPr>
              <w:t>系统对接</w:t>
            </w:r>
          </w:p>
        </w:tc>
      </w:tr>
      <w:tr w14:paraId="18C9B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5" w:type="dxa"/>
            <w:noWrap w:val="0"/>
            <w:vAlign w:val="top"/>
          </w:tcPr>
          <w:p w14:paraId="0873D8AB">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40" w:lineRule="auto"/>
              <w:ind w:left="0" w:right="0" w:rightChars="0"/>
              <w:jc w:val="left"/>
              <w:textAlignment w:val="center"/>
              <w:outlineLvl w:val="9"/>
              <w:rPr>
                <w:rFonts w:hint="eastAsia" w:ascii="仿宋" w:hAnsi="仿宋" w:eastAsia="仿宋" w:cs="仿宋"/>
                <w:b w:val="0"/>
                <w:bCs/>
                <w:color w:val="auto"/>
                <w:sz w:val="24"/>
                <w:szCs w:val="22"/>
                <w:u w:val="none"/>
                <w:vertAlign w:val="baseline"/>
                <w:lang w:val="en-US" w:eastAsia="zh-CN"/>
              </w:rPr>
            </w:pPr>
            <w:r>
              <w:rPr>
                <w:rFonts w:hint="eastAsia" w:ascii="仿宋" w:hAnsi="仿宋" w:eastAsia="仿宋" w:cs="仿宋"/>
                <w:i w:val="0"/>
                <w:color w:val="000000"/>
                <w:kern w:val="0"/>
                <w:sz w:val="21"/>
                <w:szCs w:val="21"/>
                <w:highlight w:val="none"/>
                <w:u w:val="none"/>
                <w:lang w:val="en-US" w:eastAsia="zh-CN" w:bidi="ar"/>
              </w:rPr>
              <w:t>（2）担保人在提供担保或担保过程中提供的姓名、证件号码、电话、地址、邮箱及财产类信息；</w:t>
            </w:r>
          </w:p>
        </w:tc>
        <w:tc>
          <w:tcPr>
            <w:tcW w:w="1461" w:type="dxa"/>
            <w:noWrap w:val="0"/>
            <w:vAlign w:val="top"/>
          </w:tcPr>
          <w:p w14:paraId="49312398">
            <w:pPr>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val="0"/>
              <w:snapToGrid w:val="0"/>
              <w:spacing w:before="0" w:beforeLines="0" w:beforeAutospacing="0" w:after="0" w:afterLines="0" w:afterAutospacing="0" w:line="360" w:lineRule="auto"/>
              <w:ind w:left="0" w:right="0" w:rightChars="0"/>
              <w:jc w:val="both"/>
              <w:textAlignment w:val="auto"/>
              <w:outlineLvl w:val="9"/>
              <w:rPr>
                <w:rFonts w:hint="default" w:ascii="仿宋" w:hAnsi="仿宋" w:eastAsia="仿宋" w:cs="仿宋"/>
                <w:b w:val="0"/>
                <w:bCs/>
                <w:color w:val="auto"/>
                <w:sz w:val="24"/>
                <w:szCs w:val="22"/>
                <w:u w:val="none"/>
                <w:vertAlign w:val="baseline"/>
                <w:lang w:val="en-US" w:eastAsia="zh-CN"/>
              </w:rPr>
            </w:pPr>
            <w:r>
              <w:rPr>
                <w:rFonts w:hint="eastAsia" w:ascii="仿宋" w:hAnsi="仿宋" w:eastAsia="仿宋" w:cs="仿宋"/>
                <w:b w:val="0"/>
                <w:bCs/>
                <w:color w:val="auto"/>
                <w:sz w:val="24"/>
                <w:szCs w:val="22"/>
                <w:u w:val="none"/>
                <w:vertAlign w:val="baseline"/>
                <w:lang w:val="en-US" w:eastAsia="zh-CN"/>
              </w:rPr>
              <w:t>甲方</w:t>
            </w:r>
          </w:p>
        </w:tc>
        <w:tc>
          <w:tcPr>
            <w:tcW w:w="1730" w:type="dxa"/>
            <w:noWrap w:val="0"/>
            <w:vAlign w:val="top"/>
          </w:tcPr>
          <w:p w14:paraId="4029C811">
            <w:pPr>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val="0"/>
              <w:snapToGrid w:val="0"/>
              <w:spacing w:before="0" w:beforeLines="0" w:beforeAutospacing="0" w:after="0" w:afterLines="0" w:afterAutospacing="0" w:line="360" w:lineRule="auto"/>
              <w:ind w:left="0" w:right="0" w:rightChars="0"/>
              <w:jc w:val="both"/>
              <w:textAlignment w:val="auto"/>
              <w:outlineLvl w:val="9"/>
              <w:rPr>
                <w:rFonts w:hint="eastAsia" w:ascii="仿宋" w:hAnsi="仿宋" w:eastAsia="仿宋" w:cs="仿宋"/>
                <w:b w:val="0"/>
                <w:bCs/>
                <w:color w:val="auto"/>
                <w:sz w:val="24"/>
                <w:szCs w:val="22"/>
                <w:u w:val="none"/>
                <w:vertAlign w:val="baseline"/>
                <w:lang w:val="en-US" w:eastAsia="zh-CN"/>
              </w:rPr>
            </w:pPr>
            <w:r>
              <w:rPr>
                <w:rFonts w:hint="eastAsia" w:ascii="仿宋" w:hAnsi="仿宋" w:eastAsia="仿宋" w:cs="仿宋"/>
                <w:i w:val="0"/>
                <w:color w:val="000000"/>
                <w:kern w:val="0"/>
                <w:sz w:val="21"/>
                <w:szCs w:val="21"/>
                <w:highlight w:val="none"/>
                <w:u w:val="none"/>
                <w:lang w:val="en-US" w:eastAsia="zh-CN" w:bidi="ar"/>
              </w:rPr>
              <w:t>催缴应还款项</w:t>
            </w:r>
          </w:p>
        </w:tc>
        <w:tc>
          <w:tcPr>
            <w:tcW w:w="1206" w:type="dxa"/>
            <w:noWrap w:val="0"/>
            <w:vAlign w:val="top"/>
          </w:tcPr>
          <w:p w14:paraId="1BFAD8E8">
            <w:pPr>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val="0"/>
              <w:snapToGrid w:val="0"/>
              <w:spacing w:before="0" w:beforeLines="0" w:beforeAutospacing="0" w:after="0" w:afterLines="0" w:afterAutospacing="0" w:line="360" w:lineRule="auto"/>
              <w:ind w:left="0" w:right="0" w:rightChars="0"/>
              <w:jc w:val="both"/>
              <w:textAlignment w:val="auto"/>
              <w:outlineLvl w:val="9"/>
              <w:rPr>
                <w:rFonts w:hint="eastAsia" w:ascii="仿宋" w:hAnsi="仿宋" w:eastAsia="仿宋" w:cs="仿宋"/>
                <w:b w:val="0"/>
                <w:bCs/>
                <w:color w:val="auto"/>
                <w:sz w:val="24"/>
                <w:szCs w:val="22"/>
                <w:u w:val="none"/>
                <w:vertAlign w:val="baseline"/>
                <w:lang w:val="en-US" w:eastAsia="zh-CN"/>
              </w:rPr>
            </w:pPr>
            <w:r>
              <w:rPr>
                <w:rFonts w:hint="eastAsia" w:ascii="仿宋" w:hAnsi="仿宋" w:eastAsia="仿宋" w:cs="仿宋"/>
                <w:b w:val="0"/>
                <w:bCs/>
                <w:color w:val="auto"/>
                <w:sz w:val="24"/>
                <w:szCs w:val="22"/>
                <w:u w:val="none"/>
                <w:vertAlign w:val="baseline"/>
                <w:lang w:val="en-US" w:eastAsia="zh-CN"/>
              </w:rPr>
              <w:t>系统对接</w:t>
            </w:r>
          </w:p>
        </w:tc>
      </w:tr>
      <w:tr w14:paraId="48DB2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5" w:type="dxa"/>
            <w:noWrap w:val="0"/>
            <w:vAlign w:val="top"/>
          </w:tcPr>
          <w:p w14:paraId="464EC29C">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40" w:lineRule="auto"/>
              <w:ind w:left="0" w:right="0" w:rightChars="0"/>
              <w:jc w:val="left"/>
              <w:textAlignment w:val="center"/>
              <w:outlineLvl w:val="9"/>
              <w:rPr>
                <w:rFonts w:hint="eastAsia" w:ascii="仿宋" w:hAnsi="仿宋" w:eastAsia="仿宋" w:cs="仿宋"/>
                <w:b w:val="0"/>
                <w:bCs/>
                <w:color w:val="auto"/>
                <w:sz w:val="24"/>
                <w:szCs w:val="22"/>
                <w:u w:val="none"/>
                <w:vertAlign w:val="baseline"/>
                <w:lang w:val="en-US" w:eastAsia="zh-CN"/>
              </w:rPr>
            </w:pPr>
            <w:r>
              <w:rPr>
                <w:rFonts w:hint="eastAsia" w:ascii="仿宋" w:hAnsi="仿宋" w:eastAsia="仿宋" w:cs="仿宋"/>
                <w:i w:val="0"/>
                <w:color w:val="000000"/>
                <w:kern w:val="0"/>
                <w:sz w:val="21"/>
                <w:szCs w:val="21"/>
                <w:highlight w:val="none"/>
                <w:u w:val="none"/>
                <w:lang w:val="en-US" w:eastAsia="zh-CN" w:bidi="ar"/>
              </w:rPr>
              <w:t>（3）账户信息及交易信息；</w:t>
            </w:r>
          </w:p>
        </w:tc>
        <w:tc>
          <w:tcPr>
            <w:tcW w:w="1461" w:type="dxa"/>
            <w:noWrap w:val="0"/>
            <w:vAlign w:val="top"/>
          </w:tcPr>
          <w:p w14:paraId="113E2782">
            <w:pPr>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val="0"/>
              <w:snapToGrid w:val="0"/>
              <w:spacing w:before="0" w:beforeLines="0" w:beforeAutospacing="0" w:after="0" w:afterLines="0" w:afterAutospacing="0" w:line="360" w:lineRule="auto"/>
              <w:ind w:left="0" w:right="0" w:rightChars="0"/>
              <w:jc w:val="both"/>
              <w:textAlignment w:val="auto"/>
              <w:outlineLvl w:val="9"/>
              <w:rPr>
                <w:rFonts w:hint="default" w:ascii="仿宋" w:hAnsi="仿宋" w:eastAsia="仿宋" w:cs="仿宋"/>
                <w:b w:val="0"/>
                <w:bCs/>
                <w:color w:val="auto"/>
                <w:sz w:val="24"/>
                <w:szCs w:val="22"/>
                <w:u w:val="none"/>
                <w:vertAlign w:val="baseline"/>
                <w:lang w:val="en-US" w:eastAsia="zh-CN"/>
              </w:rPr>
            </w:pPr>
            <w:r>
              <w:rPr>
                <w:rFonts w:hint="eastAsia" w:ascii="仿宋" w:hAnsi="仿宋" w:eastAsia="仿宋" w:cs="仿宋"/>
                <w:b w:val="0"/>
                <w:bCs/>
                <w:color w:val="auto"/>
                <w:sz w:val="24"/>
                <w:szCs w:val="22"/>
                <w:u w:val="none"/>
                <w:vertAlign w:val="baseline"/>
                <w:lang w:val="en-US" w:eastAsia="zh-CN"/>
              </w:rPr>
              <w:t>甲方</w:t>
            </w:r>
          </w:p>
        </w:tc>
        <w:tc>
          <w:tcPr>
            <w:tcW w:w="1730" w:type="dxa"/>
            <w:noWrap w:val="0"/>
            <w:vAlign w:val="top"/>
          </w:tcPr>
          <w:p w14:paraId="6CF28AAE">
            <w:pPr>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val="0"/>
              <w:snapToGrid w:val="0"/>
              <w:spacing w:before="0" w:beforeLines="0" w:beforeAutospacing="0" w:after="0" w:afterLines="0" w:afterAutospacing="0" w:line="360" w:lineRule="auto"/>
              <w:ind w:left="0" w:right="0" w:rightChars="0"/>
              <w:jc w:val="both"/>
              <w:textAlignment w:val="auto"/>
              <w:outlineLvl w:val="9"/>
              <w:rPr>
                <w:rFonts w:hint="eastAsia" w:ascii="仿宋" w:hAnsi="仿宋" w:eastAsia="仿宋" w:cs="仿宋"/>
                <w:b w:val="0"/>
                <w:bCs/>
                <w:color w:val="auto"/>
                <w:sz w:val="24"/>
                <w:szCs w:val="22"/>
                <w:u w:val="none"/>
                <w:vertAlign w:val="baseline"/>
                <w:lang w:val="en-US" w:eastAsia="zh-CN"/>
              </w:rPr>
            </w:pPr>
            <w:r>
              <w:rPr>
                <w:rFonts w:hint="eastAsia" w:ascii="仿宋" w:hAnsi="仿宋" w:eastAsia="仿宋" w:cs="仿宋"/>
                <w:i w:val="0"/>
                <w:color w:val="000000"/>
                <w:kern w:val="0"/>
                <w:sz w:val="21"/>
                <w:szCs w:val="21"/>
                <w:highlight w:val="none"/>
                <w:u w:val="none"/>
                <w:lang w:val="en-US" w:eastAsia="zh-CN" w:bidi="ar"/>
              </w:rPr>
              <w:t>催缴应还款项</w:t>
            </w:r>
          </w:p>
        </w:tc>
        <w:tc>
          <w:tcPr>
            <w:tcW w:w="1206" w:type="dxa"/>
            <w:noWrap w:val="0"/>
            <w:vAlign w:val="top"/>
          </w:tcPr>
          <w:p w14:paraId="5E0709BA">
            <w:pPr>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val="0"/>
              <w:snapToGrid w:val="0"/>
              <w:spacing w:before="0" w:beforeLines="0" w:beforeAutospacing="0" w:after="0" w:afterLines="0" w:afterAutospacing="0" w:line="360" w:lineRule="auto"/>
              <w:ind w:left="0" w:right="0" w:rightChars="0"/>
              <w:jc w:val="both"/>
              <w:textAlignment w:val="auto"/>
              <w:outlineLvl w:val="9"/>
              <w:rPr>
                <w:rFonts w:hint="eastAsia" w:ascii="仿宋" w:hAnsi="仿宋" w:eastAsia="仿宋" w:cs="仿宋"/>
                <w:b w:val="0"/>
                <w:bCs/>
                <w:color w:val="auto"/>
                <w:sz w:val="24"/>
                <w:szCs w:val="22"/>
                <w:u w:val="none"/>
                <w:vertAlign w:val="baseline"/>
                <w:lang w:val="en-US" w:eastAsia="zh-CN"/>
              </w:rPr>
            </w:pPr>
            <w:r>
              <w:rPr>
                <w:rFonts w:hint="eastAsia" w:ascii="仿宋" w:hAnsi="仿宋" w:eastAsia="仿宋" w:cs="仿宋"/>
                <w:b w:val="0"/>
                <w:bCs/>
                <w:color w:val="auto"/>
                <w:sz w:val="24"/>
                <w:szCs w:val="22"/>
                <w:u w:val="none"/>
                <w:vertAlign w:val="baseline"/>
                <w:lang w:val="en-US" w:eastAsia="zh-CN"/>
              </w:rPr>
              <w:t>系统对接</w:t>
            </w:r>
          </w:p>
        </w:tc>
      </w:tr>
      <w:tr w14:paraId="016D3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5" w:type="dxa"/>
            <w:noWrap w:val="0"/>
            <w:vAlign w:val="top"/>
          </w:tcPr>
          <w:p w14:paraId="27FE0077">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40" w:lineRule="auto"/>
              <w:ind w:left="0" w:right="0" w:rightChars="0"/>
              <w:jc w:val="left"/>
              <w:textAlignment w:val="center"/>
              <w:outlineLvl w:val="9"/>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（4）日常投诉或还款建议；</w:t>
            </w:r>
          </w:p>
        </w:tc>
        <w:tc>
          <w:tcPr>
            <w:tcW w:w="1461" w:type="dxa"/>
            <w:noWrap w:val="0"/>
            <w:vAlign w:val="top"/>
          </w:tcPr>
          <w:p w14:paraId="6A283422">
            <w:pPr>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val="0"/>
              <w:snapToGrid w:val="0"/>
              <w:spacing w:before="0" w:beforeLines="0" w:beforeAutospacing="0" w:after="0" w:afterLines="0" w:afterAutospacing="0" w:line="360" w:lineRule="auto"/>
              <w:ind w:left="0" w:right="0" w:rightChars="0"/>
              <w:jc w:val="both"/>
              <w:textAlignment w:val="auto"/>
              <w:outlineLvl w:val="9"/>
              <w:rPr>
                <w:rFonts w:hint="default" w:ascii="仿宋" w:hAnsi="仿宋" w:eastAsia="仿宋" w:cs="仿宋"/>
                <w:b w:val="0"/>
                <w:bCs/>
                <w:color w:val="auto"/>
                <w:sz w:val="24"/>
                <w:szCs w:val="22"/>
                <w:u w:val="none"/>
                <w:vertAlign w:val="baseline"/>
                <w:lang w:val="en-US" w:eastAsia="zh-CN"/>
              </w:rPr>
            </w:pPr>
            <w:r>
              <w:rPr>
                <w:rFonts w:hint="eastAsia" w:ascii="仿宋" w:hAnsi="仿宋" w:eastAsia="仿宋" w:cs="仿宋"/>
                <w:b w:val="0"/>
                <w:bCs/>
                <w:color w:val="auto"/>
                <w:sz w:val="24"/>
                <w:szCs w:val="22"/>
                <w:u w:val="none"/>
                <w:vertAlign w:val="baseline"/>
                <w:lang w:val="en-US" w:eastAsia="zh-CN"/>
              </w:rPr>
              <w:t>甲方</w:t>
            </w:r>
          </w:p>
        </w:tc>
        <w:tc>
          <w:tcPr>
            <w:tcW w:w="1730" w:type="dxa"/>
            <w:noWrap w:val="0"/>
            <w:vAlign w:val="top"/>
          </w:tcPr>
          <w:p w14:paraId="67F22D32">
            <w:pPr>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val="0"/>
              <w:snapToGrid w:val="0"/>
              <w:spacing w:before="0" w:beforeLines="0" w:beforeAutospacing="0" w:after="0" w:afterLines="0" w:afterAutospacing="0" w:line="360" w:lineRule="auto"/>
              <w:ind w:left="0" w:right="0" w:rightChars="0"/>
              <w:jc w:val="both"/>
              <w:textAlignment w:val="auto"/>
              <w:outlineLvl w:val="9"/>
              <w:rPr>
                <w:rFonts w:hint="eastAsia" w:ascii="仿宋" w:hAnsi="仿宋" w:eastAsia="仿宋" w:cs="仿宋"/>
                <w:b w:val="0"/>
                <w:bCs/>
                <w:color w:val="auto"/>
                <w:sz w:val="24"/>
                <w:szCs w:val="22"/>
                <w:u w:val="none"/>
                <w:vertAlign w:val="baseline"/>
                <w:lang w:val="en-US" w:eastAsia="zh-CN"/>
              </w:rPr>
            </w:pPr>
            <w:r>
              <w:rPr>
                <w:rFonts w:hint="eastAsia" w:ascii="仿宋" w:hAnsi="仿宋" w:eastAsia="仿宋" w:cs="仿宋"/>
                <w:i w:val="0"/>
                <w:color w:val="000000"/>
                <w:kern w:val="0"/>
                <w:sz w:val="21"/>
                <w:szCs w:val="21"/>
                <w:highlight w:val="none"/>
                <w:u w:val="none"/>
                <w:lang w:val="en-US" w:eastAsia="zh-CN" w:bidi="ar"/>
              </w:rPr>
              <w:t>催缴应还款项</w:t>
            </w:r>
          </w:p>
        </w:tc>
        <w:tc>
          <w:tcPr>
            <w:tcW w:w="1206" w:type="dxa"/>
            <w:noWrap w:val="0"/>
            <w:vAlign w:val="top"/>
          </w:tcPr>
          <w:p w14:paraId="6EBCDCA6">
            <w:pPr>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val="0"/>
              <w:snapToGrid w:val="0"/>
              <w:spacing w:before="0" w:beforeLines="0" w:beforeAutospacing="0" w:after="0" w:afterLines="0" w:afterAutospacing="0" w:line="360" w:lineRule="auto"/>
              <w:ind w:left="0" w:right="0" w:rightChars="0"/>
              <w:jc w:val="both"/>
              <w:textAlignment w:val="auto"/>
              <w:outlineLvl w:val="9"/>
              <w:rPr>
                <w:rFonts w:hint="eastAsia" w:ascii="仿宋" w:hAnsi="仿宋" w:eastAsia="仿宋" w:cs="仿宋"/>
                <w:b w:val="0"/>
                <w:bCs/>
                <w:color w:val="auto"/>
                <w:sz w:val="24"/>
                <w:szCs w:val="22"/>
                <w:u w:val="none"/>
                <w:vertAlign w:val="baseline"/>
                <w:lang w:val="en-US" w:eastAsia="zh-CN"/>
              </w:rPr>
            </w:pPr>
            <w:r>
              <w:rPr>
                <w:rFonts w:hint="eastAsia" w:ascii="仿宋" w:hAnsi="仿宋" w:eastAsia="仿宋" w:cs="仿宋"/>
                <w:b w:val="0"/>
                <w:bCs/>
                <w:color w:val="auto"/>
                <w:sz w:val="24"/>
                <w:szCs w:val="22"/>
                <w:u w:val="none"/>
                <w:vertAlign w:val="baseline"/>
                <w:lang w:val="en-US" w:eastAsia="zh-CN"/>
              </w:rPr>
              <w:t>系统对接</w:t>
            </w:r>
          </w:p>
        </w:tc>
      </w:tr>
      <w:tr w14:paraId="12A3D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5" w:type="dxa"/>
            <w:noWrap w:val="0"/>
            <w:vAlign w:val="top"/>
          </w:tcPr>
          <w:p w14:paraId="10AC3F83">
            <w:pPr>
              <w:pStyle w:val="2"/>
              <w:suppressLineNumbers w:val="0"/>
              <w:shd w:val="clear" w:color="auto" w:fill="auto"/>
              <w:spacing w:before="0" w:beforeAutospacing="0" w:after="0" w:afterAutospacing="0" w:line="240" w:lineRule="auto"/>
              <w:ind w:left="0" w:right="0"/>
              <w:rPr>
                <w:rFonts w:hint="eastAsia" w:ascii="仿宋" w:hAnsi="仿宋" w:eastAsia="仿宋" w:cs="仿宋"/>
                <w:b w:val="0"/>
                <w:bCs w:val="0"/>
                <w:sz w:val="21"/>
                <w:szCs w:val="21"/>
                <w:lang w:val="en-US" w:eastAsia="zh-CN"/>
              </w:rPr>
            </w:pPr>
            <w:r>
              <w:rPr>
                <w:rFonts w:hint="eastAsia" w:ascii="仿宋" w:hAnsi="仿宋" w:eastAsia="仿宋" w:cs="仿宋"/>
                <w:b w:val="0"/>
                <w:bCs w:val="0"/>
                <w:i w:val="0"/>
                <w:color w:val="000000"/>
                <w:kern w:val="0"/>
                <w:sz w:val="21"/>
                <w:szCs w:val="21"/>
                <w:highlight w:val="none"/>
                <w:u w:val="none"/>
                <w:lang w:val="en-US" w:eastAsia="zh-CN" w:bidi="ar"/>
              </w:rPr>
              <w:t>（5）客户办卡的时相关影像材料，涉及客户身份证图片、人脸图片、签名图片、社保缴纳记录、房产证图片；</w:t>
            </w:r>
          </w:p>
        </w:tc>
        <w:tc>
          <w:tcPr>
            <w:tcW w:w="1461" w:type="dxa"/>
            <w:noWrap w:val="0"/>
            <w:vAlign w:val="top"/>
          </w:tcPr>
          <w:p w14:paraId="588A7CEA">
            <w:pPr>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val="0"/>
              <w:snapToGrid w:val="0"/>
              <w:spacing w:before="0" w:beforeLines="0" w:beforeAutospacing="0" w:after="0" w:afterLines="0" w:afterAutospacing="0" w:line="360" w:lineRule="auto"/>
              <w:ind w:left="0" w:right="0" w:rightChars="0"/>
              <w:jc w:val="both"/>
              <w:textAlignment w:val="auto"/>
              <w:outlineLvl w:val="9"/>
              <w:rPr>
                <w:rFonts w:hint="default" w:ascii="仿宋" w:hAnsi="仿宋" w:eastAsia="仿宋" w:cs="仿宋"/>
                <w:b w:val="0"/>
                <w:bCs/>
                <w:color w:val="auto"/>
                <w:sz w:val="24"/>
                <w:szCs w:val="22"/>
                <w:u w:val="none"/>
                <w:vertAlign w:val="baseline"/>
                <w:lang w:val="en-US" w:eastAsia="zh-CN"/>
              </w:rPr>
            </w:pPr>
            <w:r>
              <w:rPr>
                <w:rFonts w:hint="eastAsia" w:ascii="仿宋" w:hAnsi="仿宋" w:eastAsia="仿宋" w:cs="仿宋"/>
                <w:b w:val="0"/>
                <w:bCs/>
                <w:color w:val="auto"/>
                <w:sz w:val="24"/>
                <w:szCs w:val="22"/>
                <w:u w:val="none"/>
                <w:vertAlign w:val="baseline"/>
                <w:lang w:val="en-US" w:eastAsia="zh-CN"/>
              </w:rPr>
              <w:t>甲方</w:t>
            </w:r>
          </w:p>
        </w:tc>
        <w:tc>
          <w:tcPr>
            <w:tcW w:w="1730" w:type="dxa"/>
            <w:noWrap w:val="0"/>
            <w:vAlign w:val="top"/>
          </w:tcPr>
          <w:p w14:paraId="005D58A1">
            <w:pPr>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val="0"/>
              <w:snapToGrid w:val="0"/>
              <w:spacing w:before="0" w:beforeLines="0" w:beforeAutospacing="0" w:after="0" w:afterLines="0" w:afterAutospacing="0" w:line="360" w:lineRule="auto"/>
              <w:ind w:left="0" w:right="0" w:rightChars="0"/>
              <w:jc w:val="both"/>
              <w:textAlignment w:val="auto"/>
              <w:outlineLvl w:val="9"/>
              <w:rPr>
                <w:rFonts w:hint="default"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催缴应还款项</w:t>
            </w:r>
          </w:p>
        </w:tc>
        <w:tc>
          <w:tcPr>
            <w:tcW w:w="1206" w:type="dxa"/>
            <w:noWrap w:val="0"/>
            <w:vAlign w:val="top"/>
          </w:tcPr>
          <w:p w14:paraId="410572D3">
            <w:pPr>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val="0"/>
              <w:snapToGrid w:val="0"/>
              <w:spacing w:before="0" w:beforeLines="0" w:beforeAutospacing="0" w:after="0" w:afterLines="0" w:afterAutospacing="0" w:line="360" w:lineRule="auto"/>
              <w:ind w:left="0" w:right="0" w:rightChars="0"/>
              <w:jc w:val="both"/>
              <w:textAlignment w:val="auto"/>
              <w:outlineLvl w:val="9"/>
              <w:rPr>
                <w:rFonts w:hint="default" w:ascii="仿宋" w:hAnsi="仿宋" w:eastAsia="仿宋" w:cs="仿宋"/>
                <w:b w:val="0"/>
                <w:bCs/>
                <w:color w:val="auto"/>
                <w:sz w:val="24"/>
                <w:szCs w:val="22"/>
                <w:u w:val="none"/>
                <w:vertAlign w:val="baseline"/>
                <w:lang w:val="en-US" w:eastAsia="zh-CN"/>
              </w:rPr>
            </w:pPr>
            <w:r>
              <w:rPr>
                <w:rFonts w:hint="eastAsia" w:ascii="仿宋" w:hAnsi="仿宋" w:eastAsia="仿宋" w:cs="仿宋"/>
                <w:b w:val="0"/>
                <w:bCs/>
                <w:color w:val="auto"/>
                <w:sz w:val="24"/>
                <w:szCs w:val="22"/>
                <w:u w:val="none"/>
                <w:vertAlign w:val="baseline"/>
                <w:lang w:val="en-US" w:eastAsia="zh-CN"/>
              </w:rPr>
              <w:t>系统对接</w:t>
            </w:r>
          </w:p>
        </w:tc>
      </w:tr>
      <w:tr w14:paraId="5A99B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5" w:type="dxa"/>
            <w:noWrap w:val="0"/>
            <w:vAlign w:val="top"/>
          </w:tcPr>
          <w:p w14:paraId="5115EA3E">
            <w:pPr>
              <w:pStyle w:val="2"/>
              <w:suppressLineNumbers w:val="0"/>
              <w:shd w:val="clear" w:color="auto" w:fill="auto"/>
              <w:spacing w:before="0" w:beforeAutospacing="0" w:after="0" w:afterAutospacing="0" w:line="240" w:lineRule="auto"/>
              <w:ind w:left="0" w:right="0"/>
              <w:rPr>
                <w:rFonts w:hint="eastAsia" w:ascii="仿宋" w:hAnsi="仿宋" w:eastAsia="仿宋" w:cs="仿宋"/>
                <w:b w:val="0"/>
                <w:bCs w:val="0"/>
                <w:sz w:val="21"/>
                <w:szCs w:val="21"/>
                <w:lang w:val="en-US" w:eastAsia="zh-CN"/>
              </w:rPr>
            </w:pPr>
            <w:r>
              <w:rPr>
                <w:rFonts w:hint="eastAsia" w:ascii="仿宋" w:hAnsi="仿宋" w:eastAsia="仿宋" w:cs="仿宋"/>
                <w:b w:val="0"/>
                <w:bCs w:val="0"/>
                <w:i w:val="0"/>
                <w:color w:val="000000"/>
                <w:kern w:val="0"/>
                <w:sz w:val="21"/>
                <w:szCs w:val="21"/>
                <w:highlight w:val="none"/>
                <w:u w:val="none"/>
                <w:lang w:val="en-US" w:eastAsia="zh-CN" w:bidi="ar"/>
              </w:rPr>
              <w:t>（6）客户催收过程中提供的分期减免承诺书中含有客户签名、客户指纹；</w:t>
            </w:r>
          </w:p>
        </w:tc>
        <w:tc>
          <w:tcPr>
            <w:tcW w:w="1461" w:type="dxa"/>
            <w:noWrap w:val="0"/>
            <w:vAlign w:val="top"/>
          </w:tcPr>
          <w:p w14:paraId="748D55E6">
            <w:pPr>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val="0"/>
              <w:snapToGrid w:val="0"/>
              <w:spacing w:before="0" w:beforeLines="0" w:beforeAutospacing="0" w:after="0" w:afterLines="0" w:afterAutospacing="0" w:line="360" w:lineRule="auto"/>
              <w:ind w:left="0" w:right="0" w:rightChars="0"/>
              <w:jc w:val="both"/>
              <w:textAlignment w:val="auto"/>
              <w:outlineLvl w:val="9"/>
              <w:rPr>
                <w:rFonts w:hint="eastAsia" w:ascii="仿宋" w:hAnsi="仿宋" w:eastAsia="仿宋" w:cs="仿宋"/>
                <w:b w:val="0"/>
                <w:bCs/>
                <w:color w:val="auto"/>
                <w:sz w:val="24"/>
                <w:szCs w:val="22"/>
                <w:u w:val="none"/>
                <w:vertAlign w:val="baseline"/>
                <w:lang w:val="en-US" w:eastAsia="zh-CN"/>
              </w:rPr>
            </w:pPr>
            <w:r>
              <w:rPr>
                <w:rFonts w:hint="eastAsia" w:ascii="仿宋" w:hAnsi="仿宋" w:eastAsia="仿宋" w:cs="仿宋"/>
                <w:b w:val="0"/>
                <w:bCs/>
                <w:color w:val="auto"/>
                <w:sz w:val="24"/>
                <w:szCs w:val="22"/>
                <w:u w:val="none"/>
                <w:vertAlign w:val="baseline"/>
                <w:lang w:val="en-US" w:eastAsia="zh-CN"/>
              </w:rPr>
              <w:t>乙方</w:t>
            </w:r>
          </w:p>
        </w:tc>
        <w:tc>
          <w:tcPr>
            <w:tcW w:w="1730" w:type="dxa"/>
            <w:noWrap w:val="0"/>
            <w:vAlign w:val="top"/>
          </w:tcPr>
          <w:p w14:paraId="518F591B">
            <w:pPr>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val="0"/>
              <w:snapToGrid w:val="0"/>
              <w:spacing w:before="0" w:beforeLines="0" w:beforeAutospacing="0" w:after="0" w:afterLines="0" w:afterAutospacing="0" w:line="360" w:lineRule="auto"/>
              <w:ind w:left="0" w:right="0" w:rightChars="0"/>
              <w:jc w:val="both"/>
              <w:textAlignment w:val="auto"/>
              <w:outlineLvl w:val="9"/>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i w:val="0"/>
                <w:color w:val="000000"/>
                <w:kern w:val="0"/>
                <w:sz w:val="21"/>
                <w:szCs w:val="21"/>
                <w:highlight w:val="none"/>
                <w:u w:val="none"/>
                <w:lang w:val="en-US" w:eastAsia="zh-CN" w:bidi="ar"/>
              </w:rPr>
              <w:t>催缴应还款项</w:t>
            </w:r>
          </w:p>
        </w:tc>
        <w:tc>
          <w:tcPr>
            <w:tcW w:w="1206" w:type="dxa"/>
            <w:noWrap w:val="0"/>
            <w:vAlign w:val="top"/>
          </w:tcPr>
          <w:p w14:paraId="3A984269">
            <w:pPr>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val="0"/>
              <w:snapToGrid w:val="0"/>
              <w:spacing w:before="0" w:beforeLines="0" w:beforeAutospacing="0" w:after="0" w:afterLines="0" w:afterAutospacing="0" w:line="360" w:lineRule="auto"/>
              <w:ind w:left="0" w:right="0" w:rightChars="0"/>
              <w:jc w:val="both"/>
              <w:textAlignment w:val="auto"/>
              <w:outlineLvl w:val="9"/>
              <w:rPr>
                <w:rFonts w:hint="eastAsia" w:ascii="仿宋" w:hAnsi="仿宋" w:eastAsia="仿宋" w:cs="仿宋"/>
                <w:b w:val="0"/>
                <w:bCs/>
                <w:color w:val="auto"/>
                <w:sz w:val="24"/>
                <w:szCs w:val="22"/>
                <w:u w:val="none"/>
                <w:vertAlign w:val="baseline"/>
                <w:lang w:val="en-US" w:eastAsia="zh-CN"/>
              </w:rPr>
            </w:pPr>
            <w:r>
              <w:rPr>
                <w:rFonts w:hint="eastAsia" w:ascii="仿宋" w:hAnsi="仿宋" w:eastAsia="仿宋" w:cs="仿宋"/>
                <w:b w:val="0"/>
                <w:bCs/>
                <w:color w:val="auto"/>
                <w:sz w:val="24"/>
                <w:szCs w:val="22"/>
                <w:u w:val="none"/>
                <w:vertAlign w:val="baseline"/>
                <w:lang w:val="en-US" w:eastAsia="zh-CN"/>
              </w:rPr>
              <w:t>系统对接</w:t>
            </w:r>
          </w:p>
        </w:tc>
      </w:tr>
    </w:tbl>
    <w:p w14:paraId="4810E2C8">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Lines="0" w:afterLines="0" w:line="400" w:lineRule="exact"/>
        <w:ind w:right="0" w:rightChars="0" w:firstLine="480" w:firstLineChars="200"/>
        <w:jc w:val="both"/>
        <w:textAlignment w:val="auto"/>
        <w:outlineLvl w:val="9"/>
        <w:rPr>
          <w:rFonts w:hint="eastAsia" w:ascii="仿宋" w:hAnsi="仿宋" w:eastAsia="仿宋" w:cs="仿宋"/>
          <w:b w:val="0"/>
          <w:bCs/>
          <w:color w:val="auto"/>
          <w:sz w:val="24"/>
          <w:szCs w:val="22"/>
          <w:highlight w:val="none"/>
          <w:u w:val="none"/>
          <w:lang w:val="en-US" w:eastAsia="zh-CN"/>
        </w:rPr>
      </w:pPr>
      <w:r>
        <w:rPr>
          <w:rFonts w:hint="eastAsia" w:ascii="仿宋" w:hAnsi="仿宋" w:eastAsia="仿宋" w:cs="仿宋"/>
          <w:b w:val="0"/>
          <w:bCs/>
          <w:color w:val="auto"/>
          <w:sz w:val="24"/>
          <w:szCs w:val="22"/>
          <w:highlight w:val="none"/>
          <w:u w:val="none"/>
          <w:lang w:val="en-US" w:eastAsia="zh-CN"/>
        </w:rPr>
        <w:t>后续如有变更，以甲方书面确认为准。</w:t>
      </w:r>
    </w:p>
    <w:p w14:paraId="732890E0">
      <w:pPr>
        <w:pStyle w:val="4"/>
        <w:shd w:val="clear" w:color="auto" w:fill="auto"/>
        <w:rPr>
          <w:rFonts w:hint="eastAsia"/>
          <w:lang w:val="en-US" w:eastAsia="zh-CN"/>
        </w:rPr>
      </w:pPr>
    </w:p>
    <w:p w14:paraId="59E4859E">
      <w:pPr>
        <w:shd w:val="clear" w:color="auto" w:fill="auto"/>
        <w:spacing w:line="400" w:lineRule="exact"/>
        <w:jc w:val="center"/>
        <w:outlineLvl w:val="0"/>
        <w:rPr>
          <w:rFonts w:hint="eastAsia" w:ascii="仿宋" w:hAnsi="仿宋" w:eastAsia="仿宋" w:cs="仿宋"/>
          <w:b/>
          <w:bCs/>
          <w:spacing w:val="-12"/>
          <w:sz w:val="24"/>
          <w:szCs w:val="24"/>
          <w:highlight w:val="none"/>
          <w:lang w:val="en-US" w:eastAsia="zh-CN"/>
        </w:rPr>
      </w:pPr>
      <w:r>
        <w:rPr>
          <w:rFonts w:hint="eastAsia" w:ascii="仿宋" w:hAnsi="仿宋" w:eastAsia="仿宋" w:cs="仿宋"/>
          <w:b/>
          <w:bCs/>
          <w:spacing w:val="-12"/>
          <w:sz w:val="24"/>
          <w:szCs w:val="24"/>
          <w:highlight w:val="none"/>
          <w:lang w:val="en-US" w:eastAsia="zh-CN"/>
        </w:rPr>
        <w:t>十五、消费者权益保护条款</w:t>
      </w:r>
    </w:p>
    <w:p w14:paraId="7AD0D8A9">
      <w:pPr>
        <w:numPr>
          <w:ilvl w:val="0"/>
          <w:numId w:val="0"/>
        </w:numPr>
        <w:shd w:val="clear" w:color="auto" w:fill="auto"/>
        <w:adjustRightInd w:val="0"/>
        <w:snapToGrid w:val="0"/>
        <w:spacing w:line="400" w:lineRule="exact"/>
        <w:ind w:firstLine="480" w:firstLineChars="200"/>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（一）乙方在</w:t>
      </w:r>
      <w:r>
        <w:rPr>
          <w:rFonts w:hint="eastAsia" w:ascii="仿宋" w:hAnsi="仿宋" w:eastAsia="仿宋" w:cs="仿宋"/>
          <w:bCs/>
          <w:color w:val="auto"/>
          <w:sz w:val="24"/>
          <w:highlight w:val="none"/>
          <w:lang w:eastAsia="zh-CN"/>
        </w:rPr>
        <w:t>本项目服务过程中</w:t>
      </w:r>
      <w:r>
        <w:rPr>
          <w:rFonts w:hint="eastAsia" w:ascii="仿宋" w:hAnsi="仿宋" w:eastAsia="仿宋" w:cs="仿宋"/>
          <w:bCs/>
          <w:color w:val="auto"/>
          <w:sz w:val="24"/>
          <w:highlight w:val="none"/>
          <w:lang w:val="en-US" w:eastAsia="zh-CN"/>
        </w:rPr>
        <w:t>应融入消费者权益保护理念，不得通过格式条款免除对金融消费者的告知义务，不得利用格式条款减轻或免除甲乙双方的过错责任、不得通过格式条款赋予甲乙双方单方面终止提供金融产品的权利，不得通过格式条款限制金融消费者的自主选择权和依法求偿权；</w:t>
      </w:r>
    </w:p>
    <w:p w14:paraId="69588697">
      <w:pPr>
        <w:numPr>
          <w:ilvl w:val="0"/>
          <w:numId w:val="0"/>
        </w:numPr>
        <w:shd w:val="clear" w:color="auto" w:fill="auto"/>
        <w:adjustRightInd w:val="0"/>
        <w:snapToGrid w:val="0"/>
        <w:spacing w:line="400" w:lineRule="exact"/>
        <w:ind w:firstLine="480" w:firstLineChars="200"/>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（二）乙方在开展营销宣传时或催收时，应做好向甲方客户提供产品和服务的信息披露，且</w:t>
      </w:r>
      <w:r>
        <w:rPr>
          <w:rFonts w:hint="eastAsia" w:ascii="仿宋" w:hAnsi="仿宋" w:eastAsia="仿宋" w:cs="仿宋"/>
          <w:b w:val="0"/>
          <w:bCs w:val="0"/>
          <w:color w:val="auto"/>
          <w:sz w:val="24"/>
          <w:highlight w:val="none"/>
          <w:lang w:val="en-US" w:eastAsia="zh-CN"/>
        </w:rPr>
        <w:t>催收行为（包括但不限于外呼话术、催收频次等）应当符合国家法律法规的要求，</w:t>
      </w:r>
      <w:r>
        <w:rPr>
          <w:rFonts w:hint="eastAsia" w:ascii="仿宋" w:hAnsi="仿宋" w:eastAsia="仿宋" w:cs="仿宋"/>
          <w:bCs/>
          <w:color w:val="auto"/>
          <w:sz w:val="24"/>
          <w:highlight w:val="none"/>
          <w:lang w:val="en-US" w:eastAsia="zh-CN"/>
        </w:rPr>
        <w:t>不得出现虚假、隐瞒或引人误解的信息，包括但不限于引用不真实不准确的数据和资料，对过往业绩、逾期后果进行虚假或夸大表述；使用偷换概念、不当类比、隐去假设等手段，误导消费者相信或有理由相信金融产品和服务与自身风险承受能力相符；存在不文明、不规范的营销宣传用语或催收用语等。如乙方出现因信息披露不完整、不准确，或</w:t>
      </w:r>
      <w:r>
        <w:rPr>
          <w:rFonts w:hint="eastAsia" w:ascii="仿宋" w:hAnsi="仿宋" w:eastAsia="仿宋" w:cs="仿宋"/>
          <w:b w:val="0"/>
          <w:bCs w:val="0"/>
          <w:color w:val="auto"/>
          <w:sz w:val="24"/>
          <w:highlight w:val="none"/>
          <w:lang w:val="en-US" w:eastAsia="zh-CN"/>
        </w:rPr>
        <w:t>乙方出现因催收行为不规范，</w:t>
      </w:r>
      <w:r>
        <w:rPr>
          <w:rFonts w:hint="eastAsia" w:ascii="仿宋" w:hAnsi="仿宋" w:eastAsia="仿宋" w:cs="仿宋"/>
          <w:bCs/>
          <w:color w:val="auto"/>
          <w:sz w:val="24"/>
          <w:highlight w:val="none"/>
          <w:lang w:val="en-US" w:eastAsia="zh-CN"/>
        </w:rPr>
        <w:t>以至于甲方被监管或总行通报、问责、处罚或声誉受损等，乙方每次应向甲方赔偿5万元的违约金，违约金不足以弥补甲方损失的应补足，同时，甲方有权解除合同，并无需承担任何违约责任。</w:t>
      </w:r>
    </w:p>
    <w:p w14:paraId="0E949A72">
      <w:pPr>
        <w:numPr>
          <w:ilvl w:val="0"/>
          <w:numId w:val="0"/>
        </w:numPr>
        <w:shd w:val="clear" w:color="auto" w:fill="auto"/>
        <w:adjustRightInd w:val="0"/>
        <w:snapToGrid w:val="0"/>
        <w:spacing w:line="400" w:lineRule="exact"/>
        <w:ind w:firstLine="480" w:firstLineChars="200"/>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三）乙方在合作期间，应当作好客户个人信息保护工作，如发生篡改、泄露客户信息事件，甲方有权对乙方采取扣减绩效评分、不纳入合作机构续约范畴、每次扣罚5万元违约金（违约金不足以弥补甲方损失的应补足）等处罚措施；如发生出售或违法使用客户信息事件，将予以清退。</w:t>
      </w:r>
    </w:p>
    <w:p w14:paraId="6E7DA4BD">
      <w:pPr>
        <w:numPr>
          <w:ilvl w:val="0"/>
          <w:numId w:val="0"/>
        </w:numPr>
        <w:shd w:val="clear" w:color="auto" w:fill="auto"/>
        <w:adjustRightInd w:val="0"/>
        <w:snapToGrid w:val="0"/>
        <w:spacing w:line="400" w:lineRule="exact"/>
        <w:ind w:firstLine="480" w:firstLineChars="200"/>
        <w:outlineLvl w:val="9"/>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 xml:space="preserve">（四）乙方应当保障消费者依法求偿权，建立售后服务及投诉处理机制，并采取多途径提供售后服务热线电话及投诉电话。如因甲方原因引起的投诉，乙方应积极配合甲方的投诉处理工作。如因乙方原因导致的投诉，乙方应及时妥善处理消费者投诉，提升客户满意度，针对消费者集中反映的产品及服务问题，应建立溯源整改机制，积极挖掘问题产生原因并发起改善措施。如因乙方原因给甲方造成损失的，乙方应负责赔偿。    </w:t>
      </w:r>
    </w:p>
    <w:p w14:paraId="68AF966B">
      <w:pPr>
        <w:numPr>
          <w:ilvl w:val="0"/>
          <w:numId w:val="0"/>
        </w:numPr>
        <w:shd w:val="clear" w:color="auto" w:fill="auto"/>
        <w:adjustRightInd w:val="0"/>
        <w:snapToGrid w:val="0"/>
        <w:spacing w:line="400" w:lineRule="exact"/>
        <w:ind w:firstLine="480" w:firstLineChars="200"/>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（五）发生重大事项时，乙方应当在24小时内积极协调处置，并将具体情况向甲方报送，并赔偿给甲方造成的损失（应急处置）。具体包括：</w:t>
      </w:r>
    </w:p>
    <w:p w14:paraId="03FAF503">
      <w:pPr>
        <w:numPr>
          <w:ilvl w:val="0"/>
          <w:numId w:val="0"/>
        </w:numPr>
        <w:shd w:val="clear" w:color="auto" w:fill="auto"/>
        <w:adjustRightInd w:val="0"/>
        <w:snapToGrid w:val="0"/>
        <w:spacing w:line="400" w:lineRule="exact"/>
        <w:ind w:firstLine="480" w:firstLineChars="200"/>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    1、客户集体投诉（就同一事项的投诉人数达5人及以上）</w:t>
      </w:r>
    </w:p>
    <w:p w14:paraId="3A313D26">
      <w:pPr>
        <w:numPr>
          <w:ilvl w:val="0"/>
          <w:numId w:val="0"/>
        </w:numPr>
        <w:shd w:val="clear" w:color="auto" w:fill="auto"/>
        <w:adjustRightInd w:val="0"/>
        <w:snapToGrid w:val="0"/>
        <w:spacing w:line="400" w:lineRule="exact"/>
        <w:ind w:firstLine="480" w:firstLineChars="200"/>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    2、信息泄露、毁损、丢失可能会对消费者产生不利影响；</w:t>
      </w:r>
    </w:p>
    <w:p w14:paraId="2468DCC7">
      <w:pPr>
        <w:numPr>
          <w:ilvl w:val="0"/>
          <w:numId w:val="0"/>
        </w:numPr>
        <w:shd w:val="clear" w:color="auto" w:fill="auto"/>
        <w:tabs>
          <w:tab w:val="left" w:pos="1440"/>
        </w:tabs>
        <w:adjustRightInd w:val="0"/>
        <w:snapToGrid w:val="0"/>
        <w:spacing w:line="400" w:lineRule="exact"/>
        <w:ind w:firstLine="480" w:firstLineChars="200"/>
        <w:outlineLvl w:val="9"/>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    3、媒体曝光或网络媒体大范围转载报道，引起社会公众广发关注或有重大负面影响的侵害消费者合法权益的突发事件等。</w:t>
      </w:r>
    </w:p>
    <w:p w14:paraId="3B44193B">
      <w:pPr>
        <w:numPr>
          <w:ilvl w:val="0"/>
          <w:numId w:val="0"/>
        </w:numPr>
        <w:shd w:val="clear" w:color="auto" w:fill="auto"/>
        <w:tabs>
          <w:tab w:val="left" w:pos="1440"/>
        </w:tabs>
        <w:adjustRightInd w:val="0"/>
        <w:snapToGrid w:val="0"/>
        <w:spacing w:line="400" w:lineRule="exact"/>
        <w:ind w:firstLine="480" w:firstLineChars="200"/>
        <w:outlineLvl w:val="9"/>
        <w:rPr>
          <w:rFonts w:hint="eastAsia" w:ascii="仿宋" w:hAnsi="仿宋" w:eastAsia="仿宋" w:cs="仿宋"/>
          <w:bCs/>
          <w:color w:val="auto"/>
          <w:spacing w:val="0"/>
          <w:sz w:val="24"/>
          <w:szCs w:val="24"/>
          <w:highlight w:val="none"/>
          <w:lang w:eastAsia="zh-CN"/>
        </w:rPr>
      </w:pPr>
      <w:r>
        <w:rPr>
          <w:rFonts w:hint="eastAsia" w:ascii="仿宋" w:hAnsi="仿宋" w:eastAsia="仿宋" w:cs="仿宋"/>
          <w:bCs/>
          <w:color w:val="auto"/>
          <w:spacing w:val="0"/>
          <w:sz w:val="24"/>
          <w:szCs w:val="24"/>
          <w:highlight w:val="none"/>
          <w:lang w:val="en-US" w:eastAsia="zh-CN"/>
        </w:rPr>
        <w:t>（六）无论何种原因双方合同解除或终止时，或其他情况下甲方有要求时，</w:t>
      </w:r>
      <w:r>
        <w:rPr>
          <w:rFonts w:hint="eastAsia" w:ascii="仿宋" w:hAnsi="仿宋" w:eastAsia="仿宋" w:cs="仿宋"/>
          <w:bCs/>
          <w:color w:val="auto"/>
          <w:spacing w:val="0"/>
          <w:sz w:val="24"/>
          <w:szCs w:val="24"/>
          <w:highlight w:val="none"/>
        </w:rPr>
        <w:t>乙方应</w:t>
      </w:r>
      <w:r>
        <w:rPr>
          <w:rFonts w:hint="eastAsia" w:ascii="仿宋" w:hAnsi="仿宋" w:eastAsia="仿宋" w:cs="仿宋"/>
          <w:bCs/>
          <w:color w:val="auto"/>
          <w:spacing w:val="0"/>
          <w:sz w:val="24"/>
          <w:szCs w:val="24"/>
          <w:highlight w:val="none"/>
          <w:lang w:eastAsia="zh-CN"/>
        </w:rPr>
        <w:t>根据甲方要求将甲方在合作期间提供的相关资料、工作文档等与甲方指定人员进行交接，使甲方可正常进行后续工作，乙方不得以任何理由拒绝交接。</w:t>
      </w:r>
    </w:p>
    <w:p w14:paraId="226962ED">
      <w:pPr>
        <w:numPr>
          <w:ilvl w:val="0"/>
          <w:numId w:val="0"/>
        </w:numPr>
        <w:shd w:val="clear" w:color="auto" w:fill="auto"/>
        <w:snapToGrid w:val="0"/>
        <w:spacing w:line="400" w:lineRule="exact"/>
        <w:ind w:firstLine="0"/>
        <w:contextualSpacing/>
        <w:rPr>
          <w:rFonts w:hint="default" w:ascii="仿宋" w:hAnsi="仿宋" w:eastAsia="仿宋" w:cs="仿宋"/>
          <w:spacing w:val="-12"/>
          <w:sz w:val="24"/>
          <w:szCs w:val="24"/>
          <w:highlight w:val="none"/>
        </w:rPr>
      </w:pPr>
    </w:p>
    <w:p w14:paraId="3DF77F32">
      <w:pPr>
        <w:numPr>
          <w:ilvl w:val="0"/>
          <w:numId w:val="0"/>
        </w:numPr>
        <w:shd w:val="clear" w:color="auto" w:fill="auto"/>
        <w:snapToGrid w:val="0"/>
        <w:spacing w:line="400" w:lineRule="exact"/>
        <w:contextualSpacing/>
        <w:jc w:val="center"/>
        <w:rPr>
          <w:rFonts w:hint="default" w:ascii="仿宋" w:hAnsi="仿宋" w:eastAsia="仿宋" w:cs="仿宋"/>
          <w:b/>
          <w:bCs/>
          <w:spacing w:val="-12"/>
          <w:sz w:val="24"/>
          <w:szCs w:val="24"/>
          <w:highlight w:val="none"/>
        </w:rPr>
      </w:pPr>
      <w:r>
        <w:rPr>
          <w:rFonts w:ascii="仿宋" w:hAnsi="仿宋" w:eastAsia="仿宋" w:cs="仿宋"/>
          <w:b/>
          <w:bCs/>
          <w:spacing w:val="-12"/>
          <w:sz w:val="24"/>
          <w:szCs w:val="24"/>
          <w:highlight w:val="none"/>
        </w:rPr>
        <w:t>十</w:t>
      </w:r>
      <w:r>
        <w:rPr>
          <w:rFonts w:hint="eastAsia" w:ascii="仿宋" w:hAnsi="仿宋" w:eastAsia="仿宋" w:cs="仿宋"/>
          <w:b/>
          <w:bCs/>
          <w:spacing w:val="-12"/>
          <w:sz w:val="24"/>
          <w:szCs w:val="24"/>
          <w:highlight w:val="none"/>
          <w:lang w:eastAsia="zh-CN"/>
        </w:rPr>
        <w:t>六</w:t>
      </w:r>
      <w:r>
        <w:rPr>
          <w:rFonts w:ascii="仿宋" w:hAnsi="仿宋" w:eastAsia="仿宋" w:cs="仿宋"/>
          <w:b/>
          <w:bCs/>
          <w:spacing w:val="-12"/>
          <w:sz w:val="24"/>
          <w:szCs w:val="24"/>
          <w:highlight w:val="none"/>
        </w:rPr>
        <w:t>、送达地址确认</w:t>
      </w:r>
    </w:p>
    <w:p w14:paraId="6B3AAB23">
      <w:pPr>
        <w:numPr>
          <w:ilvl w:val="0"/>
          <w:numId w:val="0"/>
        </w:numPr>
        <w:shd w:val="clear" w:color="auto" w:fill="auto"/>
        <w:tabs>
          <w:tab w:val="left" w:pos="1440"/>
        </w:tabs>
        <w:adjustRightInd w:val="0"/>
        <w:snapToGrid w:val="0"/>
        <w:spacing w:line="400" w:lineRule="exact"/>
        <w:ind w:firstLine="480" w:firstLineChars="200"/>
        <w:outlineLvl w:val="9"/>
        <w:rPr>
          <w:rFonts w:hint="eastAsia" w:ascii="仿宋" w:hAnsi="仿宋" w:eastAsia="仿宋" w:cs="仿宋"/>
          <w:bCs/>
          <w:color w:val="auto"/>
          <w:spacing w:val="0"/>
          <w:sz w:val="24"/>
          <w:szCs w:val="24"/>
          <w:highlight w:val="none"/>
        </w:rPr>
      </w:pPr>
      <w:r>
        <w:rPr>
          <w:rFonts w:ascii="仿宋" w:hAnsi="仿宋" w:eastAsia="仿宋" w:cs="仿宋"/>
          <w:b w:val="0"/>
          <w:bCs/>
          <w:color w:val="auto"/>
          <w:spacing w:val="0"/>
          <w:sz w:val="24"/>
          <w:szCs w:val="24"/>
          <w:highlight w:val="none"/>
        </w:rPr>
        <w:t>甲乙双方确认：</w:t>
      </w:r>
      <w:r>
        <w:rPr>
          <w:rFonts w:ascii="仿宋" w:hAnsi="仿宋" w:eastAsia="仿宋" w:cs="仿宋"/>
          <w:bCs/>
          <w:color w:val="auto"/>
          <w:spacing w:val="0"/>
          <w:sz w:val="24"/>
          <w:szCs w:val="24"/>
          <w:highlight w:val="none"/>
        </w:rPr>
        <w:t>本合同首页所填写的地址为本合同各方接收文件、通知等的地址，如相关地址发生变化，变化方应在三日内书面通知对方，否则须承担一切不利后果。</w:t>
      </w:r>
    </w:p>
    <w:p w14:paraId="1D46167E">
      <w:pPr>
        <w:numPr>
          <w:ilvl w:val="0"/>
          <w:numId w:val="0"/>
        </w:numPr>
        <w:shd w:val="clear" w:color="auto" w:fill="auto"/>
        <w:tabs>
          <w:tab w:val="left" w:pos="1440"/>
        </w:tabs>
        <w:adjustRightInd w:val="0"/>
        <w:snapToGrid w:val="0"/>
        <w:spacing w:line="400" w:lineRule="exact"/>
        <w:ind w:firstLine="480" w:firstLineChars="200"/>
        <w:outlineLvl w:val="9"/>
        <w:rPr>
          <w:rFonts w:hint="eastAsia" w:ascii="仿宋" w:hAnsi="仿宋" w:eastAsia="仿宋" w:cs="仿宋"/>
          <w:bCs/>
          <w:color w:val="auto"/>
          <w:spacing w:val="0"/>
          <w:sz w:val="24"/>
          <w:szCs w:val="24"/>
          <w:highlight w:val="none"/>
        </w:rPr>
      </w:pPr>
      <w:r>
        <w:rPr>
          <w:rFonts w:ascii="仿宋" w:hAnsi="仿宋" w:eastAsia="仿宋" w:cs="仿宋"/>
          <w:bCs/>
          <w:color w:val="auto"/>
          <w:spacing w:val="0"/>
          <w:sz w:val="24"/>
          <w:szCs w:val="24"/>
          <w:highlight w:val="none"/>
        </w:rPr>
        <w:t>本合同首页所填写的地址亦为发生争议时司法机关送达有关诉讼文书的确切地址，</w:t>
      </w:r>
      <w:r>
        <w:rPr>
          <w:rFonts w:ascii="仿宋" w:hAnsi="仿宋" w:eastAsia="仿宋" w:cs="仿宋"/>
          <w:b w:val="0"/>
          <w:bCs/>
          <w:color w:val="auto"/>
          <w:spacing w:val="0"/>
          <w:sz w:val="24"/>
          <w:szCs w:val="24"/>
          <w:highlight w:val="none"/>
        </w:rPr>
        <w:t>甲乙双方均知悉：</w:t>
      </w:r>
      <w:r>
        <w:rPr>
          <w:rFonts w:ascii="仿宋" w:hAnsi="仿宋" w:eastAsia="仿宋" w:cs="仿宋"/>
          <w:bCs/>
          <w:color w:val="auto"/>
          <w:spacing w:val="0"/>
          <w:sz w:val="24"/>
          <w:szCs w:val="24"/>
          <w:highlight w:val="none"/>
        </w:rPr>
        <w:t>根据法律法规的有关规定，如受送达人提供或者确认的送达地址不准确、拒不提供送达地址、送达地址变更未及时告知对方和受案法院、受送达人本人或者受送达人指定的签收人拒绝签收，导致诉讼文书未能被受送达人实际接收的，受送达人应自行承担有效送达的法律后果。邮寄送达的，以文书退回之日视为送达之日；直接送达的，以送达人当场在送达回证上记明情况之日视为送达之日。</w:t>
      </w:r>
    </w:p>
    <w:p w14:paraId="2A03471B">
      <w:pPr>
        <w:numPr>
          <w:ilvl w:val="0"/>
          <w:numId w:val="0"/>
        </w:numPr>
        <w:shd w:val="clear" w:color="auto" w:fill="auto"/>
        <w:tabs>
          <w:tab w:val="left" w:pos="1440"/>
        </w:tabs>
        <w:adjustRightInd w:val="0"/>
        <w:snapToGrid w:val="0"/>
        <w:spacing w:line="400" w:lineRule="exact"/>
        <w:ind w:firstLine="480" w:firstLineChars="200"/>
        <w:outlineLvl w:val="9"/>
        <w:rPr>
          <w:rFonts w:hint="eastAsia" w:ascii="仿宋" w:hAnsi="仿宋" w:eastAsia="仿宋" w:cs="仿宋"/>
          <w:bCs/>
          <w:color w:val="auto"/>
          <w:spacing w:val="0"/>
          <w:sz w:val="24"/>
          <w:szCs w:val="24"/>
          <w:highlight w:val="none"/>
        </w:rPr>
      </w:pPr>
      <w:r>
        <w:rPr>
          <w:rFonts w:ascii="仿宋" w:hAnsi="仿宋" w:eastAsia="仿宋" w:cs="仿宋"/>
          <w:bCs/>
          <w:color w:val="auto"/>
          <w:spacing w:val="0"/>
          <w:sz w:val="24"/>
          <w:szCs w:val="24"/>
          <w:highlight w:val="none"/>
        </w:rPr>
        <w:t>甲乙双方确认</w:t>
      </w:r>
      <w:r>
        <w:rPr>
          <w:rFonts w:hint="eastAsia" w:ascii="仿宋" w:hAnsi="仿宋" w:eastAsia="仿宋" w:cs="仿宋"/>
          <w:bCs/>
          <w:color w:val="auto"/>
          <w:spacing w:val="0"/>
          <w:sz w:val="24"/>
          <w:szCs w:val="24"/>
          <w:highlight w:val="none"/>
          <w:lang w:eastAsia="zh-CN"/>
        </w:rPr>
        <w:t>，</w:t>
      </w:r>
      <w:r>
        <w:rPr>
          <w:rFonts w:ascii="仿宋" w:hAnsi="仿宋" w:eastAsia="仿宋" w:cs="仿宋"/>
          <w:bCs/>
          <w:color w:val="auto"/>
          <w:spacing w:val="0"/>
          <w:sz w:val="24"/>
          <w:szCs w:val="24"/>
          <w:highlight w:val="none"/>
        </w:rPr>
        <w:t>以下为本合同业务联系人，下述联系代表仅限于本合同项下甲乙双方业务联络及项目工作的跟进确认，若涉及双方合同文件、合作关系等变更、确认等均以双方书面盖章函件为准。</w:t>
      </w:r>
    </w:p>
    <w:p w14:paraId="07CF8923">
      <w:pPr>
        <w:shd w:val="clear" w:color="auto" w:fill="auto"/>
        <w:snapToGrid w:val="0"/>
        <w:spacing w:line="400" w:lineRule="exact"/>
        <w:contextualSpacing/>
        <w:rPr>
          <w:rFonts w:ascii="仿宋" w:hAnsi="仿宋" w:eastAsia="仿宋" w:cs="仿宋"/>
          <w:spacing w:val="-12"/>
          <w:sz w:val="24"/>
          <w:szCs w:val="24"/>
          <w:highlight w:val="none"/>
        </w:rPr>
      </w:pPr>
      <w:r>
        <w:rPr>
          <w:rFonts w:ascii="仿宋" w:hAnsi="仿宋" w:eastAsia="仿宋" w:cs="仿宋"/>
          <w:spacing w:val="-12"/>
          <w:sz w:val="24"/>
          <w:szCs w:val="24"/>
          <w:highlight w:val="none"/>
        </w:rPr>
        <w:t>甲方联系人：   电话号码：         电子邮件：</w:t>
      </w:r>
    </w:p>
    <w:p w14:paraId="7AC65228">
      <w:pPr>
        <w:shd w:val="clear" w:color="auto" w:fill="auto"/>
        <w:snapToGrid w:val="0"/>
        <w:spacing w:line="400" w:lineRule="exact"/>
        <w:contextualSpacing/>
        <w:rPr>
          <w:rFonts w:hint="default" w:ascii="仿宋" w:hAnsi="仿宋" w:eastAsia="仿宋" w:cs="仿宋"/>
          <w:spacing w:val="-12"/>
          <w:sz w:val="24"/>
          <w:szCs w:val="24"/>
          <w:highlight w:val="none"/>
        </w:rPr>
      </w:pPr>
      <w:r>
        <w:rPr>
          <w:rFonts w:ascii="仿宋" w:hAnsi="仿宋" w:eastAsia="仿宋" w:cs="仿宋"/>
          <w:spacing w:val="-12"/>
          <w:sz w:val="24"/>
          <w:szCs w:val="24"/>
          <w:highlight w:val="none"/>
        </w:rPr>
        <w:t xml:space="preserve">乙方联系人： </w:t>
      </w:r>
      <w:r>
        <w:rPr>
          <w:rFonts w:hint="eastAsia" w:ascii="仿宋" w:hAnsi="仿宋" w:eastAsia="仿宋" w:cs="仿宋"/>
          <w:spacing w:val="-12"/>
          <w:sz w:val="24"/>
          <w:szCs w:val="24"/>
          <w:highlight w:val="none"/>
          <w:lang w:val="en-US" w:eastAsia="zh-CN"/>
        </w:rPr>
        <w:t xml:space="preserve">  </w:t>
      </w:r>
      <w:r>
        <w:rPr>
          <w:rFonts w:ascii="仿宋" w:hAnsi="仿宋" w:eastAsia="仿宋" w:cs="仿宋"/>
          <w:spacing w:val="-12"/>
          <w:sz w:val="24"/>
          <w:szCs w:val="24"/>
          <w:highlight w:val="none"/>
        </w:rPr>
        <w:t xml:space="preserve">电话号码：         电子邮件：           </w:t>
      </w:r>
      <w:r>
        <w:rPr>
          <w:rFonts w:hint="eastAsia" w:ascii="仿宋" w:hAnsi="仿宋" w:eastAsia="仿宋" w:cs="仿宋"/>
          <w:spacing w:val="-12"/>
          <w:sz w:val="24"/>
          <w:szCs w:val="24"/>
          <w:highlight w:val="none"/>
        </w:rPr>
        <w:t xml:space="preserve"> </w:t>
      </w:r>
      <w:r>
        <w:rPr>
          <w:rFonts w:ascii="仿宋" w:hAnsi="仿宋" w:eastAsia="仿宋" w:cs="仿宋"/>
          <w:spacing w:val="-12"/>
          <w:sz w:val="24"/>
          <w:szCs w:val="24"/>
          <w:highlight w:val="none"/>
        </w:rPr>
        <w:t xml:space="preserve">     </w:t>
      </w:r>
    </w:p>
    <w:p w14:paraId="75EE20F3">
      <w:pPr>
        <w:shd w:val="clear" w:color="auto" w:fill="auto"/>
        <w:snapToGrid w:val="0"/>
        <w:spacing w:line="400" w:lineRule="exact"/>
        <w:ind w:firstLine="434" w:firstLineChars="200"/>
        <w:contextualSpacing/>
        <w:rPr>
          <w:rFonts w:hint="default" w:ascii="仿宋" w:hAnsi="仿宋" w:eastAsia="仿宋" w:cs="仿宋"/>
          <w:spacing w:val="-12"/>
          <w:sz w:val="24"/>
          <w:szCs w:val="24"/>
          <w:highlight w:val="none"/>
        </w:rPr>
      </w:pPr>
      <w:r>
        <w:rPr>
          <w:rFonts w:ascii="仿宋" w:hAnsi="仿宋" w:eastAsia="仿宋" w:cs="仿宋"/>
          <w:b/>
          <w:bCs/>
          <w:spacing w:val="-12"/>
          <w:sz w:val="24"/>
          <w:szCs w:val="24"/>
          <w:highlight w:val="none"/>
        </w:rPr>
        <w:t>十</w:t>
      </w:r>
      <w:r>
        <w:rPr>
          <w:rFonts w:hint="eastAsia" w:ascii="仿宋" w:hAnsi="仿宋" w:eastAsia="仿宋" w:cs="仿宋"/>
          <w:b/>
          <w:bCs/>
          <w:spacing w:val="-12"/>
          <w:sz w:val="24"/>
          <w:szCs w:val="24"/>
          <w:highlight w:val="none"/>
          <w:lang w:eastAsia="zh-CN"/>
        </w:rPr>
        <w:t>七</w:t>
      </w:r>
      <w:r>
        <w:rPr>
          <w:rFonts w:ascii="仿宋" w:hAnsi="仿宋" w:eastAsia="仿宋" w:cs="仿宋"/>
          <w:b/>
          <w:bCs/>
          <w:spacing w:val="-12"/>
          <w:sz w:val="24"/>
          <w:szCs w:val="24"/>
          <w:highlight w:val="none"/>
        </w:rPr>
        <w:t>、</w:t>
      </w:r>
      <w:r>
        <w:rPr>
          <w:rFonts w:ascii="仿宋" w:hAnsi="仿宋" w:eastAsia="仿宋" w:cs="仿宋"/>
          <w:spacing w:val="-12"/>
          <w:sz w:val="24"/>
          <w:szCs w:val="24"/>
          <w:highlight w:val="none"/>
        </w:rPr>
        <w:t>本合同的附件或双方对本合同所作的任何修改或补充，均构成本合同的一部分，与本合同具有同等法律效力。</w:t>
      </w:r>
    </w:p>
    <w:p w14:paraId="3F421321">
      <w:pPr>
        <w:shd w:val="clear" w:color="auto" w:fill="auto"/>
        <w:snapToGrid w:val="0"/>
        <w:spacing w:line="400" w:lineRule="exact"/>
        <w:ind w:firstLine="434" w:firstLineChars="200"/>
        <w:contextualSpacing/>
        <w:rPr>
          <w:rFonts w:ascii="仿宋" w:hAnsi="仿宋" w:eastAsia="仿宋" w:cs="仿宋"/>
          <w:spacing w:val="-12"/>
          <w:sz w:val="24"/>
          <w:szCs w:val="24"/>
          <w:highlight w:val="none"/>
        </w:rPr>
      </w:pPr>
      <w:r>
        <w:rPr>
          <w:rFonts w:ascii="仿宋" w:hAnsi="仿宋" w:eastAsia="仿宋" w:cs="仿宋"/>
          <w:b/>
          <w:bCs/>
          <w:spacing w:val="-12"/>
          <w:sz w:val="24"/>
          <w:szCs w:val="24"/>
          <w:highlight w:val="none"/>
        </w:rPr>
        <w:t>十</w:t>
      </w:r>
      <w:r>
        <w:rPr>
          <w:rFonts w:hint="eastAsia" w:ascii="仿宋" w:hAnsi="仿宋" w:eastAsia="仿宋" w:cs="仿宋"/>
          <w:b/>
          <w:bCs/>
          <w:spacing w:val="-12"/>
          <w:sz w:val="24"/>
          <w:szCs w:val="24"/>
          <w:highlight w:val="none"/>
          <w:lang w:eastAsia="zh-CN"/>
        </w:rPr>
        <w:t>八</w:t>
      </w:r>
      <w:r>
        <w:rPr>
          <w:rFonts w:ascii="仿宋" w:hAnsi="仿宋" w:eastAsia="仿宋" w:cs="仿宋"/>
          <w:b/>
          <w:bCs/>
          <w:spacing w:val="-12"/>
          <w:sz w:val="24"/>
          <w:szCs w:val="24"/>
          <w:highlight w:val="none"/>
        </w:rPr>
        <w:t>、</w:t>
      </w:r>
      <w:r>
        <w:rPr>
          <w:rFonts w:ascii="仿宋" w:hAnsi="仿宋" w:eastAsia="仿宋" w:cs="仿宋"/>
          <w:spacing w:val="-12"/>
          <w:sz w:val="24"/>
          <w:szCs w:val="24"/>
          <w:highlight w:val="none"/>
        </w:rPr>
        <w:t>本合同一经双方签章即生效，非经双方协商一致，任何一方不得擅自变更；非因法定或约定事由的出现，如一方要求变更或解除合同，应经双方友好协商；协商不成，任何一方可向甲方所在地人民法院提起诉讼。</w:t>
      </w:r>
    </w:p>
    <w:p w14:paraId="342DF282">
      <w:pPr>
        <w:shd w:val="clear" w:color="auto" w:fill="auto"/>
        <w:snapToGrid w:val="0"/>
        <w:spacing w:line="400" w:lineRule="exact"/>
        <w:ind w:firstLine="434" w:firstLineChars="200"/>
        <w:contextualSpacing/>
        <w:rPr>
          <w:rFonts w:hint="eastAsia" w:ascii="仿宋" w:hAnsi="仿宋" w:eastAsia="仿宋" w:cs="仿宋"/>
          <w:spacing w:val="-12"/>
          <w:sz w:val="24"/>
          <w:highlight w:val="none"/>
          <w:lang w:val="en-US" w:eastAsia="zh-CN"/>
        </w:rPr>
      </w:pPr>
      <w:r>
        <w:rPr>
          <w:rFonts w:hint="eastAsia" w:ascii="仿宋" w:hAnsi="仿宋" w:eastAsia="仿宋" w:cs="仿宋"/>
          <w:b/>
          <w:bCs/>
          <w:spacing w:val="-12"/>
          <w:sz w:val="24"/>
          <w:highlight w:val="none"/>
          <w:lang w:eastAsia="zh-CN"/>
        </w:rPr>
        <w:t>十九</w:t>
      </w:r>
      <w:r>
        <w:rPr>
          <w:rFonts w:hint="eastAsia" w:ascii="仿宋" w:hAnsi="仿宋" w:eastAsia="仿宋" w:cs="仿宋"/>
          <w:spacing w:val="-12"/>
          <w:sz w:val="24"/>
          <w:highlight w:val="none"/>
          <w:lang w:eastAsia="zh-CN"/>
        </w:rPr>
        <w:t>、乙方确认并同意，如甲方在本合同到期前</w:t>
      </w:r>
      <w:r>
        <w:rPr>
          <w:rFonts w:hint="eastAsia" w:ascii="仿宋" w:hAnsi="仿宋" w:eastAsia="仿宋" w:cs="仿宋"/>
          <w:spacing w:val="-12"/>
          <w:sz w:val="24"/>
          <w:highlight w:val="none"/>
          <w:lang w:val="en-US" w:eastAsia="zh-CN"/>
        </w:rPr>
        <w:t>10个</w:t>
      </w:r>
      <w:r>
        <w:rPr>
          <w:rFonts w:hint="eastAsia" w:ascii="仿宋" w:hAnsi="仿宋" w:eastAsia="仿宋" w:cs="仿宋"/>
          <w:spacing w:val="-12"/>
          <w:sz w:val="24"/>
          <w:szCs w:val="24"/>
          <w:highlight w:val="none"/>
          <w:lang w:val="en-US" w:eastAsia="zh-CN"/>
        </w:rPr>
        <w:t>工作</w:t>
      </w:r>
      <w:r>
        <w:rPr>
          <w:rFonts w:hint="eastAsia" w:ascii="仿宋" w:hAnsi="仿宋" w:eastAsia="仿宋" w:cs="仿宋"/>
          <w:spacing w:val="-12"/>
          <w:sz w:val="24"/>
          <w:highlight w:val="none"/>
          <w:lang w:val="en-US" w:eastAsia="zh-CN"/>
        </w:rPr>
        <w:t>日内通知乙方续约，则甲乙双方签署续约合同，如甲方未在上述期间通知乙方续约的，则本合同效力自约定合同终止之日止。</w:t>
      </w:r>
    </w:p>
    <w:p w14:paraId="6AF2592B">
      <w:pPr>
        <w:numPr>
          <w:ilvl w:val="0"/>
          <w:numId w:val="0"/>
        </w:numPr>
        <w:shd w:val="clear" w:color="auto" w:fill="auto"/>
        <w:snapToGrid w:val="0"/>
        <w:spacing w:line="400" w:lineRule="exact"/>
        <w:ind w:firstLine="432"/>
        <w:contextualSpacing/>
        <w:rPr>
          <w:rFonts w:ascii="仿宋" w:hAnsi="仿宋" w:eastAsia="仿宋" w:cs="仿宋"/>
          <w:spacing w:val="-12"/>
          <w:sz w:val="24"/>
          <w:szCs w:val="24"/>
          <w:highlight w:val="none"/>
        </w:rPr>
      </w:pPr>
      <w:r>
        <w:rPr>
          <w:rFonts w:hint="eastAsia" w:ascii="仿宋" w:hAnsi="仿宋" w:eastAsia="仿宋" w:cs="仿宋"/>
          <w:b/>
          <w:bCs/>
          <w:spacing w:val="-12"/>
          <w:sz w:val="24"/>
          <w:szCs w:val="24"/>
          <w:highlight w:val="none"/>
          <w:lang w:eastAsia="zh-CN"/>
        </w:rPr>
        <w:t>二十</w:t>
      </w:r>
      <w:r>
        <w:rPr>
          <w:rFonts w:ascii="仿宋" w:hAnsi="仿宋" w:eastAsia="仿宋" w:cs="仿宋"/>
          <w:b/>
          <w:bCs/>
          <w:spacing w:val="-12"/>
          <w:sz w:val="24"/>
          <w:szCs w:val="24"/>
          <w:highlight w:val="none"/>
        </w:rPr>
        <w:t>、</w:t>
      </w:r>
      <w:r>
        <w:rPr>
          <w:rFonts w:ascii="仿宋" w:hAnsi="仿宋" w:eastAsia="仿宋" w:cs="仿宋"/>
          <w:spacing w:val="-12"/>
          <w:sz w:val="24"/>
          <w:szCs w:val="24"/>
          <w:highlight w:val="none"/>
        </w:rPr>
        <w:t>本合同壹式肆份，甲方持贰份，乙方持贰份，具同等法律效力。</w:t>
      </w:r>
    </w:p>
    <w:p w14:paraId="2F2857B4">
      <w:pPr>
        <w:numPr>
          <w:ilvl w:val="0"/>
          <w:numId w:val="0"/>
        </w:numPr>
        <w:shd w:val="clear" w:color="auto" w:fill="auto"/>
        <w:snapToGrid w:val="0"/>
        <w:spacing w:line="400" w:lineRule="exact"/>
        <w:ind w:firstLine="432"/>
        <w:contextualSpacing/>
        <w:rPr>
          <w:rFonts w:hint="eastAsia" w:ascii="仿宋" w:hAnsi="仿宋" w:eastAsia="仿宋" w:cs="仿宋"/>
          <w:color w:val="auto"/>
          <w:spacing w:val="-12"/>
          <w:sz w:val="24"/>
          <w:szCs w:val="24"/>
          <w:highlight w:val="none"/>
          <w:lang w:eastAsia="zh-CN"/>
        </w:rPr>
      </w:pPr>
      <w:r>
        <w:rPr>
          <w:rFonts w:hint="eastAsia" w:ascii="仿宋" w:hAnsi="仿宋" w:eastAsia="仿宋" w:cs="仿宋"/>
          <w:color w:val="auto"/>
          <w:spacing w:val="-12"/>
          <w:sz w:val="24"/>
          <w:szCs w:val="24"/>
          <w:highlight w:val="none"/>
          <w:lang w:eastAsia="zh-CN"/>
        </w:rPr>
        <w:t>（</w:t>
      </w:r>
      <w:r>
        <w:rPr>
          <w:rFonts w:hint="eastAsia" w:ascii="仿宋" w:hAnsi="仿宋" w:eastAsia="仿宋" w:cs="仿宋"/>
          <w:color w:val="auto"/>
          <w:spacing w:val="-12"/>
          <w:sz w:val="24"/>
          <w:szCs w:val="24"/>
          <w:highlight w:val="none"/>
          <w:lang w:val="en-US" w:eastAsia="zh-CN"/>
        </w:rPr>
        <w:t>下无正文</w:t>
      </w:r>
      <w:r>
        <w:rPr>
          <w:rFonts w:hint="eastAsia" w:ascii="仿宋" w:hAnsi="仿宋" w:eastAsia="仿宋" w:cs="仿宋"/>
          <w:color w:val="auto"/>
          <w:spacing w:val="-12"/>
          <w:sz w:val="24"/>
          <w:szCs w:val="24"/>
          <w:highlight w:val="none"/>
          <w:lang w:eastAsia="zh-CN"/>
        </w:rPr>
        <w:t>）</w:t>
      </w:r>
    </w:p>
    <w:p w14:paraId="369FE19F">
      <w:pPr>
        <w:shd w:val="clear" w:color="auto" w:fill="auto"/>
        <w:snapToGrid w:val="0"/>
        <w:spacing w:line="400" w:lineRule="exact"/>
        <w:ind w:firstLine="0"/>
        <w:contextualSpacing/>
        <w:rPr>
          <w:rFonts w:hint="default" w:ascii="仿宋" w:hAnsi="仿宋" w:eastAsia="仿宋" w:cs="仿宋"/>
          <w:spacing w:val="-12"/>
          <w:sz w:val="24"/>
          <w:szCs w:val="24"/>
          <w:highlight w:val="none"/>
        </w:rPr>
      </w:pPr>
    </w:p>
    <w:p w14:paraId="72FF471E">
      <w:pPr>
        <w:shd w:val="clear" w:color="auto" w:fill="auto"/>
        <w:snapToGrid w:val="0"/>
        <w:spacing w:line="400" w:lineRule="exact"/>
        <w:ind w:firstLine="0"/>
        <w:contextualSpacing/>
        <w:rPr>
          <w:rFonts w:hint="default" w:ascii="仿宋" w:hAnsi="仿宋" w:eastAsia="仿宋" w:cs="仿宋"/>
          <w:spacing w:val="-12"/>
          <w:sz w:val="24"/>
          <w:szCs w:val="24"/>
          <w:highlight w:val="none"/>
        </w:rPr>
      </w:pPr>
    </w:p>
    <w:p w14:paraId="4869F179">
      <w:pPr>
        <w:shd w:val="clear" w:color="auto" w:fill="auto"/>
        <w:snapToGrid w:val="0"/>
        <w:spacing w:line="400" w:lineRule="exact"/>
        <w:ind w:firstLine="600"/>
        <w:contextualSpacing/>
        <w:rPr>
          <w:rFonts w:hint="eastAsia" w:ascii="仿宋" w:hAnsi="仿宋" w:eastAsia="仿宋" w:cs="仿宋"/>
          <w:spacing w:val="-12"/>
          <w:sz w:val="24"/>
          <w:szCs w:val="24"/>
          <w:highlight w:val="none"/>
          <w:lang w:val="en-US" w:eastAsia="zh-CN"/>
        </w:rPr>
      </w:pPr>
      <w:r>
        <w:rPr>
          <w:rFonts w:hint="eastAsia" w:ascii="仿宋" w:hAnsi="仿宋" w:eastAsia="仿宋" w:cs="仿宋"/>
          <w:spacing w:val="-12"/>
          <w:sz w:val="24"/>
          <w:szCs w:val="24"/>
          <w:highlight w:val="none"/>
          <w:lang w:val="en-US" w:eastAsia="zh-CN"/>
        </w:rPr>
        <w:t>（本页为合同签署页）</w:t>
      </w:r>
    </w:p>
    <w:p w14:paraId="58E68BD5">
      <w:pPr>
        <w:shd w:val="clear" w:color="auto" w:fill="auto"/>
        <w:snapToGrid w:val="0"/>
        <w:spacing w:line="400" w:lineRule="exact"/>
        <w:ind w:firstLine="0"/>
        <w:contextualSpacing/>
        <w:rPr>
          <w:rFonts w:hint="default" w:ascii="仿宋" w:hAnsi="仿宋" w:eastAsia="仿宋" w:cs="仿宋"/>
          <w:spacing w:val="-12"/>
          <w:sz w:val="24"/>
          <w:szCs w:val="24"/>
          <w:highlight w:val="none"/>
        </w:rPr>
      </w:pPr>
    </w:p>
    <w:p w14:paraId="45A44A08">
      <w:pPr>
        <w:shd w:val="clear" w:color="auto" w:fill="auto"/>
        <w:snapToGrid w:val="0"/>
        <w:spacing w:line="400" w:lineRule="exact"/>
        <w:ind w:firstLine="600"/>
        <w:contextualSpacing/>
        <w:rPr>
          <w:rFonts w:hint="default" w:ascii="仿宋" w:hAnsi="仿宋" w:eastAsia="仿宋" w:cs="仿宋"/>
          <w:spacing w:val="-12"/>
          <w:sz w:val="24"/>
          <w:szCs w:val="24"/>
          <w:highlight w:val="none"/>
        </w:rPr>
      </w:pPr>
      <w:r>
        <w:rPr>
          <w:rFonts w:ascii="仿宋" w:hAnsi="仿宋" w:eastAsia="仿宋" w:cs="仿宋"/>
          <w:spacing w:val="-12"/>
          <w:sz w:val="24"/>
          <w:szCs w:val="24"/>
          <w:highlight w:val="none"/>
        </w:rPr>
        <w:t>甲方（盖章）：                                   乙方（盖章）：</w:t>
      </w:r>
    </w:p>
    <w:p w14:paraId="79E75A80">
      <w:pPr>
        <w:shd w:val="clear" w:color="auto" w:fill="auto"/>
        <w:snapToGrid w:val="0"/>
        <w:spacing w:line="400" w:lineRule="exact"/>
        <w:ind w:firstLine="600"/>
        <w:contextualSpacing/>
        <w:rPr>
          <w:rFonts w:hint="default" w:ascii="仿宋" w:hAnsi="仿宋" w:eastAsia="仿宋" w:cs="仿宋"/>
          <w:spacing w:val="-12"/>
          <w:sz w:val="24"/>
          <w:szCs w:val="24"/>
          <w:highlight w:val="none"/>
        </w:rPr>
      </w:pPr>
      <w:r>
        <w:rPr>
          <w:rFonts w:ascii="仿宋" w:hAnsi="仿宋" w:eastAsia="仿宋" w:cs="仿宋"/>
          <w:spacing w:val="-12"/>
          <w:sz w:val="24"/>
          <w:szCs w:val="24"/>
          <w:highlight w:val="none"/>
        </w:rPr>
        <w:t>签约代表：                                       签约代表：</w:t>
      </w:r>
    </w:p>
    <w:p w14:paraId="4377162B">
      <w:pPr>
        <w:shd w:val="clear" w:color="auto" w:fill="auto"/>
        <w:ind w:firstLine="600"/>
        <w:rPr>
          <w:rFonts w:ascii="仿宋" w:hAnsi="仿宋" w:eastAsia="仿宋" w:cs="仿宋"/>
          <w:b/>
          <w:color w:val="auto"/>
          <w:spacing w:val="-12"/>
          <w:highlight w:val="none"/>
        </w:rPr>
      </w:pPr>
      <w:r>
        <w:rPr>
          <w:rFonts w:ascii="仿宋" w:hAnsi="仿宋" w:eastAsia="仿宋" w:cs="仿宋"/>
          <w:spacing w:val="-12"/>
          <w:sz w:val="24"/>
          <w:szCs w:val="24"/>
          <w:highlight w:val="none"/>
        </w:rPr>
        <w:t>日期：                                           日期：</w:t>
      </w:r>
    </w:p>
    <w:p w14:paraId="230DA77F">
      <w:pPr>
        <w:pStyle w:val="5"/>
        <w:shd w:val="clear" w:color="auto" w:fill="auto"/>
        <w:snapToGrid w:val="0"/>
        <w:spacing w:before="0" w:beforeAutospacing="0" w:after="0" w:afterAutospacing="0" w:line="400" w:lineRule="exact"/>
        <w:contextualSpacing/>
        <w:rPr>
          <w:rFonts w:ascii="仿宋" w:hAnsi="仿宋" w:eastAsia="仿宋" w:cs="仿宋"/>
          <w:b/>
          <w:color w:val="auto"/>
          <w:spacing w:val="-12"/>
          <w:highlight w:val="none"/>
        </w:rPr>
      </w:pPr>
    </w:p>
    <w:p w14:paraId="3D79837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japaneseCounting"/>
      <w:lvlText w:val="（%1）"/>
      <w:lvlJc w:val="left"/>
      <w:pPr>
        <w:tabs>
          <w:tab w:val="left" w:pos="1415"/>
        </w:tabs>
        <w:ind w:left="1415" w:hanging="855"/>
      </w:pPr>
      <w:rPr>
        <w:rFonts w:hint="default" w:ascii="Times New Roman"/>
      </w:rPr>
    </w:lvl>
    <w:lvl w:ilvl="1" w:tentative="0">
      <w:start w:val="1"/>
      <w:numFmt w:val="lowerLetter"/>
      <w:lvlText w:val="%2)"/>
      <w:lvlJc w:val="left"/>
      <w:pPr>
        <w:tabs>
          <w:tab w:val="left" w:pos="1400"/>
        </w:tabs>
        <w:ind w:left="1400" w:hanging="420"/>
      </w:pPr>
      <w:rPr>
        <w:rFonts w:hint="default" w:ascii="Times New Roman"/>
      </w:rPr>
    </w:lvl>
    <w:lvl w:ilvl="2" w:tentative="0">
      <w:start w:val="1"/>
      <w:numFmt w:val="lowerRoman"/>
      <w:lvlText w:val="%3."/>
      <w:lvlJc w:val="right"/>
      <w:pPr>
        <w:tabs>
          <w:tab w:val="left" w:pos="1820"/>
        </w:tabs>
        <w:ind w:left="1820" w:hanging="420"/>
      </w:pPr>
      <w:rPr>
        <w:rFonts w:hint="default" w:ascii="Times New Roman"/>
      </w:rPr>
    </w:lvl>
    <w:lvl w:ilvl="3" w:tentative="0">
      <w:start w:val="1"/>
      <w:numFmt w:val="decimal"/>
      <w:lvlText w:val="%4."/>
      <w:lvlJc w:val="left"/>
      <w:pPr>
        <w:tabs>
          <w:tab w:val="left" w:pos="2240"/>
        </w:tabs>
        <w:ind w:left="2240" w:hanging="420"/>
      </w:pPr>
      <w:rPr>
        <w:rFonts w:hint="default" w:ascii="Times New Roman"/>
      </w:rPr>
    </w:lvl>
    <w:lvl w:ilvl="4" w:tentative="0">
      <w:start w:val="1"/>
      <w:numFmt w:val="lowerLetter"/>
      <w:lvlText w:val="%5)"/>
      <w:lvlJc w:val="left"/>
      <w:pPr>
        <w:tabs>
          <w:tab w:val="left" w:pos="2660"/>
        </w:tabs>
        <w:ind w:left="2660" w:hanging="420"/>
      </w:pPr>
      <w:rPr>
        <w:rFonts w:hint="default" w:ascii="Times New Roman"/>
      </w:rPr>
    </w:lvl>
    <w:lvl w:ilvl="5" w:tentative="0">
      <w:start w:val="1"/>
      <w:numFmt w:val="lowerRoman"/>
      <w:lvlText w:val="%6."/>
      <w:lvlJc w:val="right"/>
      <w:pPr>
        <w:tabs>
          <w:tab w:val="left" w:pos="3080"/>
        </w:tabs>
        <w:ind w:left="3080" w:hanging="420"/>
      </w:pPr>
      <w:rPr>
        <w:rFonts w:hint="default" w:ascii="Times New Roman"/>
      </w:rPr>
    </w:lvl>
    <w:lvl w:ilvl="6" w:tentative="0">
      <w:start w:val="1"/>
      <w:numFmt w:val="decimal"/>
      <w:lvlText w:val="%7."/>
      <w:lvlJc w:val="left"/>
      <w:pPr>
        <w:tabs>
          <w:tab w:val="left" w:pos="3500"/>
        </w:tabs>
        <w:ind w:left="3500" w:hanging="420"/>
      </w:pPr>
      <w:rPr>
        <w:rFonts w:hint="default" w:ascii="Times New Roman"/>
      </w:rPr>
    </w:lvl>
    <w:lvl w:ilvl="7" w:tentative="0">
      <w:start w:val="1"/>
      <w:numFmt w:val="lowerLetter"/>
      <w:lvlText w:val="%8)"/>
      <w:lvlJc w:val="left"/>
      <w:pPr>
        <w:tabs>
          <w:tab w:val="left" w:pos="3920"/>
        </w:tabs>
        <w:ind w:left="3920" w:hanging="420"/>
      </w:pPr>
      <w:rPr>
        <w:rFonts w:hint="default" w:ascii="Times New Roman"/>
      </w:rPr>
    </w:lvl>
    <w:lvl w:ilvl="8" w:tentative="0">
      <w:start w:val="1"/>
      <w:numFmt w:val="lowerRoman"/>
      <w:lvlText w:val="%9."/>
      <w:lvlJc w:val="right"/>
      <w:pPr>
        <w:tabs>
          <w:tab w:val="left" w:pos="4340"/>
        </w:tabs>
        <w:ind w:left="4340" w:hanging="420"/>
      </w:pPr>
      <w:rPr>
        <w:rFonts w:hint="default" w:ascii="Times New Roman"/>
      </w:rPr>
    </w:lvl>
  </w:abstractNum>
  <w:abstractNum w:abstractNumId="1">
    <w:nsid w:val="0000000C"/>
    <w:multiLevelType w:val="singleLevel"/>
    <w:tmpl w:val="0000000C"/>
    <w:lvl w:ilvl="0" w:tentative="0">
      <w:start w:val="4"/>
      <w:numFmt w:val="chineseCounting"/>
      <w:suff w:val="nothing"/>
      <w:lvlText w:val="%1、"/>
      <w:lvlJc w:val="left"/>
    </w:lvl>
  </w:abstractNum>
  <w:abstractNum w:abstractNumId="2">
    <w:nsid w:val="230454B1"/>
    <w:multiLevelType w:val="singleLevel"/>
    <w:tmpl w:val="230454B1"/>
    <w:lvl w:ilvl="0" w:tentative="0">
      <w:start w:val="6"/>
      <w:numFmt w:val="decimal"/>
      <w:suff w:val="nothing"/>
      <w:lvlText w:val="%1、"/>
      <w:lvlJc w:val="left"/>
    </w:lvl>
  </w:abstractNum>
  <w:abstractNum w:abstractNumId="3">
    <w:nsid w:val="5B792059"/>
    <w:multiLevelType w:val="singleLevel"/>
    <w:tmpl w:val="5B792059"/>
    <w:lvl w:ilvl="0" w:tentative="0">
      <w:start w:val="1"/>
      <w:numFmt w:val="decimal"/>
      <w:lvlText w:val="%1."/>
      <w:lvlJc w:val="left"/>
      <w:pPr>
        <w:tabs>
          <w:tab w:val="left" w:pos="425"/>
        </w:tabs>
        <w:ind w:left="425" w:hanging="425"/>
      </w:pPr>
      <w:rPr>
        <w:rFonts w:hint="default"/>
      </w:rPr>
    </w:lvl>
  </w:abstractNum>
  <w:abstractNum w:abstractNumId="4">
    <w:nsid w:val="5B79207D"/>
    <w:multiLevelType w:val="singleLevel"/>
    <w:tmpl w:val="5B79207D"/>
    <w:lvl w:ilvl="0" w:tentative="0">
      <w:start w:val="1"/>
      <w:numFmt w:val="decimal"/>
      <w:lvlText w:val="%1."/>
      <w:lvlJc w:val="left"/>
      <w:pPr>
        <w:tabs>
          <w:tab w:val="left" w:pos="425"/>
        </w:tabs>
        <w:ind w:left="425" w:hanging="425"/>
      </w:pPr>
      <w:rPr>
        <w:rFonts w:hint="default"/>
      </w:rPr>
    </w:lvl>
  </w:abstractNum>
  <w:abstractNum w:abstractNumId="5">
    <w:nsid w:val="5E832D86"/>
    <w:multiLevelType w:val="singleLevel"/>
    <w:tmpl w:val="5E832D86"/>
    <w:lvl w:ilvl="0" w:tentative="0">
      <w:start w:val="1"/>
      <w:numFmt w:val="chineseCounting"/>
      <w:suff w:val="nothing"/>
      <w:lvlText w:val="%1、"/>
      <w:lvlJc w:val="left"/>
    </w:lvl>
  </w:abstractNum>
  <w:abstractNum w:abstractNumId="6">
    <w:nsid w:val="5E96EB2A"/>
    <w:multiLevelType w:val="singleLevel"/>
    <w:tmpl w:val="5E96EB2A"/>
    <w:lvl w:ilvl="0" w:tentative="0">
      <w:start w:val="11"/>
      <w:numFmt w:val="decimal"/>
      <w:suff w:val="nothing"/>
      <w:lvlText w:val="（%1）"/>
      <w:lvlJc w:val="left"/>
    </w:lvl>
  </w:abstractNum>
  <w:abstractNum w:abstractNumId="7">
    <w:nsid w:val="6178BE99"/>
    <w:multiLevelType w:val="singleLevel"/>
    <w:tmpl w:val="6178BE99"/>
    <w:lvl w:ilvl="0" w:tentative="0">
      <w:start w:val="1"/>
      <w:numFmt w:val="decimal"/>
      <w:lvlText w:val="%1."/>
      <w:lvlJc w:val="left"/>
      <w:pPr>
        <w:ind w:left="425" w:hanging="425"/>
      </w:pPr>
      <w:rPr>
        <w:rFonts w:hint="default"/>
      </w:rPr>
    </w:lvl>
  </w:abstractNum>
  <w:abstractNum w:abstractNumId="8">
    <w:nsid w:val="6178BF08"/>
    <w:multiLevelType w:val="singleLevel"/>
    <w:tmpl w:val="6178BF08"/>
    <w:lvl w:ilvl="0" w:tentative="0">
      <w:start w:val="1"/>
      <w:numFmt w:val="decimal"/>
      <w:lvlText w:val="%1."/>
      <w:lvlJc w:val="left"/>
      <w:pPr>
        <w:ind w:left="425" w:hanging="425"/>
      </w:pPr>
      <w:rPr>
        <w:rFonts w:hint="default"/>
      </w:rPr>
    </w:lvl>
  </w:abstractNum>
  <w:abstractNum w:abstractNumId="9">
    <w:nsid w:val="6178D6DB"/>
    <w:multiLevelType w:val="singleLevel"/>
    <w:tmpl w:val="6178D6DB"/>
    <w:lvl w:ilvl="0" w:tentative="0">
      <w:start w:val="1"/>
      <w:numFmt w:val="decimal"/>
      <w:lvlText w:val="%1."/>
      <w:lvlJc w:val="left"/>
      <w:pPr>
        <w:tabs>
          <w:tab w:val="left" w:pos="425"/>
        </w:tabs>
        <w:ind w:left="425" w:hanging="425"/>
      </w:pPr>
      <w:rPr>
        <w:rFonts w:hint="default"/>
      </w:rPr>
    </w:lvl>
  </w:abstractNum>
  <w:abstractNum w:abstractNumId="10">
    <w:nsid w:val="61792795"/>
    <w:multiLevelType w:val="singleLevel"/>
    <w:tmpl w:val="61792795"/>
    <w:lvl w:ilvl="0" w:tentative="0">
      <w:start w:val="1"/>
      <w:numFmt w:val="decimal"/>
      <w:lvlText w:val="%1."/>
      <w:lvlJc w:val="left"/>
      <w:pPr>
        <w:tabs>
          <w:tab w:val="left" w:pos="425"/>
        </w:tabs>
        <w:ind w:left="425" w:hanging="425"/>
      </w:pPr>
      <w:rPr>
        <w:rFonts w:hint="default"/>
      </w:rPr>
    </w:lvl>
  </w:abstractNum>
  <w:abstractNum w:abstractNumId="11">
    <w:nsid w:val="617927B6"/>
    <w:multiLevelType w:val="singleLevel"/>
    <w:tmpl w:val="617927B6"/>
    <w:lvl w:ilvl="0" w:tentative="0">
      <w:start w:val="1"/>
      <w:numFmt w:val="decimal"/>
      <w:lvlText w:val="%1."/>
      <w:lvlJc w:val="left"/>
      <w:pPr>
        <w:ind w:left="425" w:hanging="425"/>
      </w:pPr>
      <w:rPr>
        <w:rFonts w:hint="default"/>
      </w:rPr>
    </w:lvl>
  </w:abstractNum>
  <w:abstractNum w:abstractNumId="12">
    <w:nsid w:val="61792875"/>
    <w:multiLevelType w:val="singleLevel"/>
    <w:tmpl w:val="61792875"/>
    <w:lvl w:ilvl="0" w:tentative="0">
      <w:start w:val="1"/>
      <w:numFmt w:val="decimal"/>
      <w:lvlText w:val="%1."/>
      <w:lvlJc w:val="left"/>
      <w:pPr>
        <w:ind w:left="425" w:hanging="425"/>
      </w:pPr>
      <w:rPr>
        <w:rFonts w:hint="default"/>
      </w:rPr>
    </w:lvl>
  </w:abstractNum>
  <w:abstractNum w:abstractNumId="13">
    <w:nsid w:val="689426E7"/>
    <w:multiLevelType w:val="singleLevel"/>
    <w:tmpl w:val="689426E7"/>
    <w:lvl w:ilvl="0" w:tentative="0">
      <w:start w:val="1"/>
      <w:numFmt w:val="decimal"/>
      <w:suff w:val="nothing"/>
      <w:lvlText w:val="%1、"/>
      <w:lvlJc w:val="left"/>
    </w:lvl>
  </w:abstractNum>
  <w:abstractNum w:abstractNumId="14">
    <w:nsid w:val="68A52605"/>
    <w:multiLevelType w:val="singleLevel"/>
    <w:tmpl w:val="68A52605"/>
    <w:lvl w:ilvl="0" w:tentative="0">
      <w:start w:val="3"/>
      <w:numFmt w:val="decimal"/>
      <w:suff w:val="nothing"/>
      <w:lvlText w:val="%1、"/>
      <w:lvlJc w:val="left"/>
    </w:lvl>
  </w:abstractNum>
  <w:num w:numId="1">
    <w:abstractNumId w:val="5"/>
  </w:num>
  <w:num w:numId="2">
    <w:abstractNumId w:val="1"/>
  </w:num>
  <w:num w:numId="3">
    <w:abstractNumId w:val="6"/>
  </w:num>
  <w:num w:numId="4">
    <w:abstractNumId w:val="2"/>
  </w:num>
  <w:num w:numId="5">
    <w:abstractNumId w:val="0"/>
  </w:num>
  <w:num w:numId="6">
    <w:abstractNumId w:val="13"/>
  </w:num>
  <w:num w:numId="7">
    <w:abstractNumId w:val="14"/>
  </w:num>
  <w:num w:numId="8">
    <w:abstractNumId w:val="11"/>
  </w:num>
  <w:num w:numId="9">
    <w:abstractNumId w:val="9"/>
  </w:num>
  <w:num w:numId="10">
    <w:abstractNumId w:val="3"/>
  </w:num>
  <w:num w:numId="11">
    <w:abstractNumId w:val="4"/>
  </w:num>
  <w:num w:numId="12">
    <w:abstractNumId w:val="7"/>
  </w:num>
  <w:num w:numId="13">
    <w:abstractNumId w:val="10"/>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2D533A"/>
    <w:rsid w:val="0B154BBD"/>
    <w:rsid w:val="1E2D533A"/>
    <w:rsid w:val="34E3738A"/>
    <w:rsid w:val="5BA00AE1"/>
    <w:rsid w:val="767A4081"/>
    <w:rsid w:val="7C4D5F18"/>
    <w:rsid w:val="7FC82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paragraph" w:styleId="2">
    <w:name w:val="heading 2"/>
    <w:basedOn w:val="1"/>
    <w:next w:val="1"/>
    <w:unhideWhenUsed/>
    <w:qFormat/>
    <w:uiPriority w:val="9"/>
    <w:pPr>
      <w:keepNext/>
      <w:keepLines/>
      <w:spacing w:line="416" w:lineRule="auto"/>
      <w:outlineLvl w:val="1"/>
    </w:pPr>
    <w:rPr>
      <w:rFonts w:ascii="Arial" w:hAnsi="Arial" w:eastAsia="黑体"/>
      <w:b/>
      <w:bCs/>
      <w:sz w:val="32"/>
      <w:szCs w:val="32"/>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Salutation"/>
    <w:basedOn w:val="1"/>
    <w:next w:val="1"/>
    <w:uiPriority w:val="0"/>
    <w:rPr>
      <w:sz w:val="28"/>
      <w:szCs w:val="28"/>
    </w:rPr>
  </w:style>
  <w:style w:type="paragraph" w:styleId="4">
    <w:name w:val="Body Text"/>
    <w:basedOn w:val="1"/>
    <w:next w:val="1"/>
    <w:uiPriority w:val="0"/>
    <w:pPr>
      <w:spacing w:line="360" w:lineRule="auto"/>
    </w:pPr>
    <w:rPr>
      <w:szCs w:val="20"/>
    </w:rPr>
  </w:style>
  <w:style w:type="paragraph" w:styleId="5">
    <w:name w:val="Normal (Web)"/>
    <w:basedOn w:val="1"/>
    <w:qFormat/>
    <w:uiPriority w:val="0"/>
    <w:pPr>
      <w:widowControl/>
      <w:spacing w:before="100" w:beforeAutospacing="1" w:after="100" w:afterAutospacing="1"/>
      <w:jc w:val="left"/>
    </w:pPr>
    <w:rPr>
      <w:rFonts w:hint="default" w:ascii="宋体" w:hAnsi="宋体"/>
      <w:color w:val="000000"/>
      <w:kern w:val="0"/>
      <w:sz w:val="24"/>
      <w:szCs w:val="24"/>
    </w:rPr>
  </w:style>
  <w:style w:type="paragraph" w:styleId="6">
    <w:name w:val="Body Text First Indent"/>
    <w:basedOn w:val="4"/>
    <w:uiPriority w:val="0"/>
    <w:pPr>
      <w:spacing w:after="120" w:afterLines="0" w:line="240" w:lineRule="auto"/>
      <w:ind w:firstLine="420" w:firstLineChars="100"/>
    </w:pPr>
    <w:rPr>
      <w:szCs w:val="24"/>
    </w:rPr>
  </w:style>
  <w:style w:type="table" w:styleId="8">
    <w:name w:val="Table Grid"/>
    <w:basedOn w:val="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正文 New New New New New"/>
    <w:qFormat/>
    <w:uiPriority w:val="0"/>
    <w:pPr>
      <w:widowControl w:val="0"/>
      <w:jc w:val="both"/>
    </w:pPr>
    <w:rPr>
      <w:rFonts w:ascii="Times New Roman" w:hAnsi="Times New Roman" w:eastAsia="宋体" w:cs="Times New Roman"/>
      <w:color w:val="000000"/>
      <w:kern w:val="1"/>
      <w:sz w:val="21"/>
      <w:szCs w:val="24"/>
      <w:lang w:val="en-US" w:eastAsia="zh-CN" w:bidi="ar-SA"/>
    </w:rPr>
  </w:style>
  <w:style w:type="paragraph" w:customStyle="1" w:styleId="11">
    <w:name w:val="正文文本缩进 2 New"/>
    <w:qFormat/>
    <w:uiPriority w:val="0"/>
    <w:pPr>
      <w:spacing w:line="360" w:lineRule="exact"/>
      <w:ind w:firstLine="600"/>
    </w:pPr>
    <w:rPr>
      <w:rFonts w:ascii="Times New Roman" w:hAnsi="Times New Roman" w:eastAsia="宋体" w:cs="Times New Roman"/>
      <w:szCs w:val="2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2</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2025-07-31T08:46:00Z</dcterms:created>
  <dc:creator>朱晓丹</dc:creator>
  <cp:lastModifiedBy>朱晓丹</cp:lastModifiedBy>
  <dcterms:modified xsi:type="dcterms:W3CDTF">2025-09-23T02:38:52Z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AE1B110F0C6B47B38F4394BD7C83B51C_12</vt:lpwstr>
  </property>
</Properties>
</file>