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solid" w:color="FFFFFF" w:fill="auto"/>
        <w:kinsoku/>
        <w:overflowPunct/>
        <w:topLinePunct w:val="0"/>
        <w:autoSpaceDN w:val="0"/>
        <w:bidi w:val="0"/>
        <w:adjustRightInd w:val="0"/>
        <w:spacing w:beforeLines="0" w:afterLines="0" w:line="620" w:lineRule="exact"/>
        <w:ind w:left="0" w:leftChars="0" w:firstLine="0" w:firstLineChars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pacing w:val="-1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pacing w:val="-1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附件1：合作意向申请表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pacing w:val="-12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</w:p>
    <w:p>
      <w:pPr>
        <w:pStyle w:val="6"/>
        <w:spacing w:line="620" w:lineRule="exact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-12"/>
          <w:kern w:val="0"/>
          <w:sz w:val="44"/>
          <w:szCs w:val="44"/>
          <w:u w:val="none"/>
          <w:lang w:val="en-US" w:eastAsia="zh-CN" w:bidi="ar"/>
        </w:rPr>
        <w:t>合作意向申请表</w:t>
      </w:r>
    </w:p>
    <w:tbl>
      <w:tblPr>
        <w:tblStyle w:val="5"/>
        <w:tblpPr w:leftFromText="180" w:rightFromText="180" w:vertAnchor="text" w:horzAnchor="page" w:tblpX="1440" w:tblpY="598"/>
        <w:tblOverlap w:val="never"/>
        <w:tblW w:w="91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12"/>
        <w:gridCol w:w="232"/>
        <w:gridCol w:w="1714"/>
        <w:gridCol w:w="2293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律所名称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执业许可证号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注册地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近3年有无受到行政部门或行业协会的处罚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执业律师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合伙人数量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优势领域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荣誉奖项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主要合作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主办律师信息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团队律师信息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专  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  <w:t>执业证号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申请合作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条件</w:t>
            </w:r>
          </w:p>
        </w:tc>
        <w:tc>
          <w:tcPr>
            <w:tcW w:w="763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Lines="0" w:afterLines="0" w:line="6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必须是经司法行政部门批准的取得执业许可证的律师事务所，已通过司法行政机关最近一年考核，考核结果为合格或合格以上；</w:t>
            </w:r>
            <w:bookmarkStart w:id="0" w:name="_GoBack"/>
            <w:bookmarkEnd w:id="0"/>
          </w:p>
          <w:p>
            <w:pPr>
              <w:pStyle w:val="3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beforeLines="0" w:after="0" w:afterLines="0" w:line="620" w:lineRule="exact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在经营活动中没有重大违法记录；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近三年来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没有受过司法行政部门、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银行业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监管机构、税务机关、银行同业公会以及律师协会的处罚或处分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；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6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负责本项目的律师、服务团队成员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近三年来未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受过司法行政部门、银行保险监管机构、税务机关、银行同业公会以及律师协会的处罚或处分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；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6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不存在违反《股份制商业银行独立董事和外部监事制度指引》等监管制度限制性规定的情形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具备催收系统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（或案件管理系统）、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录音系统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，系统可以为律所自建系统或非自建系统，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催收记录、录音信息应至少保存3年及以上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未被列入“信用中国”网站(www.creditchina.gov.cn)“记录失信被执行人或重大税收违法失信主体或政府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合作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严重违法失信行为”记录名单；不处于中国政府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合作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网(www.ccgp.gov.cn)“政府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合作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严重违法失信行为信息记录”中的禁止参加政府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eastAsia="zh-CN" w:bidi="ar"/>
              </w:rPr>
              <w:t>合作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32"/>
                <w:szCs w:val="32"/>
                <w:highlight w:val="none"/>
                <w:shd w:val="clear" w:color="auto" w:fill="auto"/>
                <w:lang w:bidi="ar"/>
              </w:rPr>
              <w:t>活动期间。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="0" w:beforeLines="0" w:afterLines="0" w:line="6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□7.未曾与本行发生法律纠纷，不在本行服务供应商黑名单内；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beforeLines="0" w:afterLines="0" w:line="6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□8.不存在法律法规或其他监管规定限制或禁止为本行提供服务的情形。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6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2"/>
                <w:sz w:val="32"/>
                <w:szCs w:val="32"/>
                <w:highlight w:val="none"/>
                <w:shd w:val="clear" w:color="auto" w:fill="auto"/>
                <w:lang w:val="en-US" w:eastAsia="zh-CN" w:bidi="ar"/>
              </w:rPr>
              <w:t>□9.业务代理年限方面，律所主办律师累计代理信用卡逾期资产批量清收案件的年限≥3年；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620" w:lineRule="exact"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auto"/>
                <w:spacing w:val="-12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shd w:val="clear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2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10.项目服务经验方面，律所或主办律师需提供至少一项与国有银行、全国性股份制银行、城商行的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auto"/>
                <w:spacing w:val="-23"/>
                <w:sz w:val="32"/>
                <w:szCs w:val="32"/>
                <w:highlight w:val="none"/>
                <w:u w:val="none"/>
                <w:shd w:val="clear"/>
                <w:lang w:val="en-US" w:eastAsia="zh-CN" w:bidi="ar"/>
              </w:rPr>
              <w:t>信用卡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2"/>
                <w:kern w:val="2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逾期资产批量清收处置案例；（以上案例包括主办律师现所在律所或过往执业律所的代理案例。）</w:t>
            </w:r>
          </w:p>
          <w:p>
            <w:pPr>
              <w:pStyle w:val="6"/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  <w:tc>
          <w:tcPr>
            <w:tcW w:w="763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-12"/>
                <w:kern w:val="0"/>
                <w:sz w:val="32"/>
                <w:szCs w:val="32"/>
                <w:u w:val="none"/>
                <w:lang w:val="en-US" w:eastAsia="zh-CN" w:bidi="ar"/>
              </w:rPr>
              <w:t>申报/推荐理由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exact"/>
          <w:jc w:val="center"/>
        </w:trPr>
        <w:tc>
          <w:tcPr>
            <w:tcW w:w="9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20" w:lineRule="exact"/>
              <w:ind w:left="0" w:leftChars="0" w:firstLine="592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  <w:p>
            <w:pPr>
              <w:pStyle w:val="2"/>
              <w:pageBreakBefore w:val="0"/>
              <w:kinsoku/>
              <w:overflowPunct/>
              <w:topLinePunct w:val="0"/>
              <w:bidi w:val="0"/>
              <w:spacing w:line="620" w:lineRule="exact"/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/>
        <w:tabs>
          <w:tab w:val="left" w:pos="992"/>
        </w:tabs>
        <w:kinsoku/>
        <w:overflowPunct/>
        <w:topLinePunct w:val="0"/>
        <w:bidi w:val="0"/>
        <w:spacing w:line="620" w:lineRule="exact"/>
        <w:jc w:val="left"/>
        <w:textAlignment w:val="center"/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</w:pPr>
    </w:p>
    <w:p>
      <w:pPr>
        <w:pageBreakBefore w:val="0"/>
        <w:widowControl/>
        <w:tabs>
          <w:tab w:val="left" w:pos="992"/>
        </w:tabs>
        <w:kinsoku/>
        <w:overflowPunct/>
        <w:topLinePunct w:val="0"/>
        <w:bidi w:val="0"/>
        <w:spacing w:line="620" w:lineRule="exact"/>
        <w:jc w:val="left"/>
        <w:textAlignment w:val="center"/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  <w:t>备注：申报/推荐理由中应包含但不限于：</w:t>
      </w:r>
    </w:p>
    <w:p>
      <w:pPr>
        <w:pageBreakBefore w:val="0"/>
        <w:widowControl/>
        <w:numPr>
          <w:ilvl w:val="0"/>
          <w:numId w:val="1"/>
        </w:numPr>
        <w:tabs>
          <w:tab w:val="left" w:pos="992"/>
        </w:tabs>
        <w:kinsoku/>
        <w:overflowPunct/>
        <w:topLinePunct w:val="0"/>
        <w:bidi w:val="0"/>
        <w:spacing w:line="620" w:lineRule="exact"/>
        <w:jc w:val="left"/>
        <w:textAlignment w:val="center"/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  <w:t>申请律所及律师团队就零售信用逾期资产批量清收（含信用卡）的过往业绩，包括主要代理地区和整体立案水平等；</w:t>
      </w:r>
    </w:p>
    <w:p>
      <w:pPr>
        <w:pageBreakBefore w:val="0"/>
        <w:widowControl/>
        <w:numPr>
          <w:ilvl w:val="0"/>
          <w:numId w:val="1"/>
        </w:numPr>
        <w:tabs>
          <w:tab w:val="left" w:pos="992"/>
        </w:tabs>
        <w:kinsoku/>
        <w:overflowPunct/>
        <w:topLinePunct w:val="0"/>
        <w:bidi w:val="0"/>
        <w:spacing w:line="620" w:lineRule="exact"/>
        <w:jc w:val="left"/>
        <w:textAlignment w:val="center"/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shd w:val="clear"/>
          <w:lang w:val="en-US" w:eastAsia="zh-CN" w:bidi="ar"/>
        </w:rPr>
        <w:t>申请律所及律师团队合作期间预计处置思路和立案量等。</w:t>
      </w:r>
    </w:p>
    <w:p>
      <w:pPr>
        <w:pageBreakBefore w:val="0"/>
        <w:kinsoku/>
        <w:overflowPunct/>
        <w:topLinePunct w:val="0"/>
        <w:bidi w:val="0"/>
        <w:spacing w:line="6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仿宋KW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506E"/>
    <w:multiLevelType w:val="singleLevel"/>
    <w:tmpl w:val="5218506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C74F5"/>
    <w:rsid w:val="08993BA9"/>
    <w:rsid w:val="17DC74F5"/>
    <w:rsid w:val="611873DC"/>
    <w:rsid w:val="7A0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3">
    <w:name w:val="Body Text First Indent"/>
    <w:basedOn w:val="2"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customStyle="1" w:styleId="6">
    <w:name w:val="正文（首行缩进2字符）"/>
    <w:basedOn w:val="1"/>
    <w:qFormat/>
    <w:uiPriority w:val="99"/>
    <w:pPr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2025-07-31T08:42:00Z</dcterms:created>
  <dc:creator>朱晓丹</dc:creator>
  <cp:lastModifiedBy>朱晓丹</cp:lastModifiedBy>
  <dcterms:modified xsi:type="dcterms:W3CDTF">2025-08-01T06:57:11Z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2052-10.8.0.6518</vt:lpwstr>
  </property>
</Properties>
</file>