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8"/>
        </w:rPr>
      </w:pPr>
      <w:r>
        <w:rPr>
          <w:rFonts w:hint="eastAsia" w:ascii="仿宋" w:hAnsi="仿宋" w:eastAsia="仿宋" w:cs="仿宋"/>
          <w:b/>
          <w:sz w:val="28"/>
        </w:rPr>
        <w:t>个人信息查询及使用授权书</w:t>
      </w:r>
    </w:p>
    <w:p>
      <w:pPr>
        <w:spacing w:line="360" w:lineRule="auto"/>
        <w:jc w:val="center"/>
        <w:rPr>
          <w:rFonts w:ascii="仿宋" w:hAnsi="仿宋" w:eastAsia="仿宋" w:cs="仿宋"/>
          <w:b/>
          <w:sz w:val="28"/>
        </w:rPr>
      </w:pPr>
      <w:r>
        <w:rPr>
          <w:rFonts w:hint="eastAsia" w:ascii="仿宋" w:hAnsi="仿宋" w:eastAsia="仿宋" w:cs="仿宋"/>
        </w:rPr>
        <w:t xml:space="preserve">                                    </w:t>
      </w:r>
    </w:p>
    <w:p>
      <w:pPr>
        <w:spacing w:line="360" w:lineRule="auto"/>
        <w:rPr>
          <w:rFonts w:ascii="仿宋" w:hAnsi="仿宋" w:eastAsia="仿宋" w:cs="仿宋"/>
          <w:b/>
        </w:rPr>
      </w:pPr>
      <w:r>
        <w:rPr>
          <w:rFonts w:hint="eastAsia" w:ascii="仿宋" w:hAnsi="仿宋" w:eastAsia="仿宋" w:cs="仿宋"/>
          <w:b/>
        </w:rPr>
        <w:t>重要提示：</w:t>
      </w:r>
    </w:p>
    <w:p>
      <w:pPr>
        <w:spacing w:line="360" w:lineRule="auto"/>
        <w:ind w:firstLine="420"/>
        <w:rPr>
          <w:rFonts w:ascii="仿宋" w:hAnsi="仿宋" w:eastAsia="仿宋" w:cs="仿宋"/>
          <w:b/>
        </w:rPr>
      </w:pPr>
      <w:r>
        <w:rPr>
          <w:rFonts w:hint="eastAsia" w:ascii="仿宋" w:hAnsi="仿宋" w:eastAsia="仿宋" w:cs="仿宋"/>
          <w:b/>
        </w:rPr>
        <w:t>为了维护您（亦称“本人”）的合法权益，请在勾选/签署本授权书前，仔细阅读、充分理解本授权书各条款内容，</w:t>
      </w:r>
      <w:r>
        <w:rPr>
          <w:rFonts w:hint="eastAsia" w:ascii="仿宋" w:hAnsi="仿宋" w:eastAsia="仿宋" w:cs="仿宋"/>
          <w:b/>
          <w:szCs w:val="21"/>
        </w:rPr>
        <w:t>特别是加黑加粗字体显示的条款</w:t>
      </w:r>
      <w:r>
        <w:rPr>
          <w:rFonts w:hint="eastAsia" w:ascii="仿宋" w:hAnsi="仿宋" w:eastAsia="仿宋" w:cs="仿宋"/>
          <w:b/>
        </w:rPr>
        <w:t>。您的勾选/签署行为即视为您已阅读并同意本授权书条款的约束，本授权书即生效。</w:t>
      </w:r>
    </w:p>
    <w:p>
      <w:pPr>
        <w:spacing w:line="360" w:lineRule="auto"/>
        <w:ind w:firstLine="420"/>
        <w:rPr>
          <w:rFonts w:ascii="仿宋" w:hAnsi="仿宋" w:eastAsia="仿宋" w:cs="仿宋"/>
          <w:b/>
        </w:rPr>
      </w:pPr>
    </w:p>
    <w:p>
      <w:pPr>
        <w:spacing w:line="360" w:lineRule="auto"/>
        <w:rPr>
          <w:rFonts w:ascii="仿宋" w:hAnsi="仿宋" w:eastAsia="仿宋" w:cs="仿宋"/>
          <w:b/>
        </w:rPr>
      </w:pPr>
      <w:r>
        <w:rPr>
          <w:rFonts w:hint="eastAsia" w:ascii="仿宋" w:hAnsi="仿宋" w:eastAsia="仿宋" w:cs="仿宋"/>
          <w:b/>
        </w:rPr>
        <w:t>_____银行股份有限公司：</w:t>
      </w:r>
    </w:p>
    <w:p>
      <w:pPr>
        <w:spacing w:line="360" w:lineRule="auto"/>
        <w:ind w:firstLine="420" w:firstLineChars="200"/>
        <w:rPr>
          <w:rFonts w:ascii="仿宋" w:hAnsi="仿宋" w:eastAsia="仿宋" w:cs="仿宋"/>
        </w:rPr>
      </w:pPr>
      <w:r>
        <w:rPr>
          <w:rFonts w:hint="eastAsia" w:ascii="仿宋" w:hAnsi="仿宋" w:eastAsia="仿宋" w:cs="仿宋"/>
        </w:rPr>
        <w:t>本人</w:t>
      </w:r>
      <w:r>
        <w:rPr>
          <w:rFonts w:hint="eastAsia" w:ascii="仿宋" w:hAnsi="仿宋" w:eastAsia="仿宋" w:cs="仿宋"/>
          <w:u w:val="single"/>
        </w:rPr>
        <w:t xml:space="preserve">       </w:t>
      </w:r>
      <w:r>
        <w:rPr>
          <w:rFonts w:hint="eastAsia" w:ascii="仿宋" w:hAnsi="仿宋" w:eastAsia="仿宋" w:cs="仿宋"/>
          <w:color w:val="000000" w:themeColor="text1"/>
          <w14:textFill>
            <w14:solidFill>
              <w14:schemeClr w14:val="tx1"/>
            </w14:solidFill>
          </w14:textFill>
        </w:rPr>
        <w:t>，证件号码：</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rPr>
        <w:t>向贵行及与贵行合作向本人提供融资贷款相关服务的其他机构（以下简称“被授权人”）作出以下授权：</w:t>
      </w:r>
    </w:p>
    <w:p>
      <w:pPr>
        <w:spacing w:line="360" w:lineRule="auto"/>
        <w:ind w:firstLine="422"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
        </w:rPr>
        <w:t>一、授权事项及用途</w:t>
      </w:r>
    </w:p>
    <w:p>
      <w:pPr>
        <w:spacing w:line="360" w:lineRule="auto"/>
        <w:ind w:firstLine="422" w:firstLineChars="200"/>
        <w:rPr>
          <w:rFonts w:ascii="仿宋" w:hAnsi="仿宋" w:eastAsia="仿宋" w:cs="仿宋"/>
          <w:b/>
        </w:rPr>
      </w:pPr>
      <w:r>
        <w:rPr>
          <w:rFonts w:hint="eastAsia" w:ascii="仿宋" w:hAnsi="仿宋" w:eastAsia="仿宋" w:cs="仿宋"/>
          <w:b/>
        </w:rPr>
        <w:t>（一）本人授权被授权人可在本人或与本人有关的信贷/担保业务申请阶段、存续期间及贷后管理阶段向中国人民银行金融信用信息基础数据库、中国互联网金融协会、合法设立的百行征信有限公司、朴道征信有限公司及其他合法征信机构、政府部门（公安机关、公积金、社保、税务、民政等）、通信运营商、数据信息机构及其他合法留存本人个人信息的第三方机构（涉及的具体机构名单详见附件，政府机构除外）查询、打印、收集及记录本人的信用信息、财产信息、联络方式、关系人、资信状况、就业情况、收入情况、婚姻情况、学历信息、地址信息、位置数据、通讯行为、支付数据信息、通讯信息、互联网使用信息、互联网使用行为等信息（</w:t>
      </w:r>
      <w:r>
        <w:rPr>
          <w:rFonts w:hint="eastAsia" w:ascii="仿宋" w:hAnsi="仿宋" w:eastAsia="仿宋" w:cs="仿宋"/>
          <w:b/>
          <w:szCs w:val="21"/>
        </w:rPr>
        <w:t>从具体机构收集的具体信息类型详见附件</w:t>
      </w:r>
      <w:r>
        <w:rPr>
          <w:rFonts w:hint="eastAsia" w:ascii="仿宋" w:hAnsi="仿宋" w:eastAsia="仿宋" w:cs="仿宋"/>
          <w:b/>
        </w:rPr>
        <w:t>）并保留相关核查资料。</w:t>
      </w:r>
    </w:p>
    <w:p>
      <w:pPr>
        <w:spacing w:line="360" w:lineRule="auto"/>
        <w:ind w:firstLine="420" w:firstLineChars="200"/>
        <w:rPr>
          <w:rFonts w:ascii="仿宋" w:hAnsi="仿宋" w:eastAsia="仿宋" w:cs="仿宋"/>
        </w:rPr>
      </w:pPr>
      <w:r>
        <w:rPr>
          <w:rFonts w:hint="eastAsia" w:ascii="仿宋" w:hAnsi="仿宋" w:eastAsia="仿宋" w:cs="仿宋"/>
        </w:rPr>
        <w:t>上述查询信息可用于以下用途：</w:t>
      </w:r>
    </w:p>
    <w:p>
      <w:pPr>
        <w:spacing w:line="360" w:lineRule="auto"/>
        <w:ind w:firstLine="420" w:firstLineChars="200"/>
        <w:rPr>
          <w:rFonts w:ascii="仿宋" w:hAnsi="仿宋" w:eastAsia="仿宋" w:cs="仿宋"/>
        </w:rPr>
      </w:pPr>
      <w:r>
        <w:rPr>
          <w:rFonts w:hint="eastAsia" w:ascii="仿宋" w:hAnsi="仿宋" w:eastAsia="仿宋" w:cs="仿宋"/>
        </w:rPr>
        <w:t>1.开展业务所需的身份识别、核实与认证；</w:t>
      </w:r>
    </w:p>
    <w:p>
      <w:pPr>
        <w:spacing w:line="360" w:lineRule="auto"/>
        <w:ind w:firstLine="420" w:firstLineChars="200"/>
        <w:rPr>
          <w:rFonts w:ascii="仿宋" w:hAnsi="仿宋" w:eastAsia="仿宋" w:cs="仿宋"/>
        </w:rPr>
      </w:pPr>
      <w:r>
        <w:rPr>
          <w:rFonts w:hint="eastAsia" w:ascii="仿宋" w:hAnsi="仿宋" w:eastAsia="仿宋" w:cs="仿宋"/>
        </w:rPr>
        <w:t>2.进行信用评估、风险分析与管理，如评估本人的信用状况、还款能力、违约风险等，审核本人的授信及贷款申请，或审核本人作为担保人或共同还款人的资格和能力；</w:t>
      </w:r>
    </w:p>
    <w:p>
      <w:pPr>
        <w:spacing w:line="360" w:lineRule="auto"/>
        <w:ind w:firstLine="420" w:firstLineChars="200"/>
        <w:rPr>
          <w:rFonts w:ascii="仿宋" w:hAnsi="仿宋" w:eastAsia="仿宋" w:cs="仿宋"/>
        </w:rPr>
      </w:pPr>
      <w:r>
        <w:rPr>
          <w:rFonts w:hint="eastAsia" w:ascii="仿宋" w:hAnsi="仿宋" w:eastAsia="仿宋" w:cs="仿宋"/>
        </w:rPr>
        <w:t>3.在受理法人、其他组织或自然人（以下合称“授信申请人”）的授信或贷款申请或对授信申请人在贵行处的信贷业务进行贷后风险管理时，查询本人作为授信申请人的法定代表人、出资人或关联方的信用状况；</w:t>
      </w:r>
    </w:p>
    <w:p>
      <w:pPr>
        <w:spacing w:line="360" w:lineRule="auto"/>
        <w:ind w:firstLine="420" w:firstLineChars="200"/>
        <w:rPr>
          <w:rFonts w:ascii="仿宋" w:hAnsi="仿宋" w:eastAsia="仿宋" w:cs="仿宋"/>
        </w:rPr>
      </w:pPr>
      <w:r>
        <w:rPr>
          <w:rFonts w:hint="eastAsia" w:ascii="仿宋" w:hAnsi="仿宋" w:eastAsia="仿宋" w:cs="仿宋"/>
        </w:rPr>
        <w:t>4.处理贷后管理事务（包括贷款额度授予后对额度的管理），进行贷后风险管理；</w:t>
      </w:r>
    </w:p>
    <w:p>
      <w:pPr>
        <w:spacing w:line="360" w:lineRule="auto"/>
        <w:ind w:firstLine="420" w:firstLineChars="200"/>
        <w:rPr>
          <w:rFonts w:ascii="仿宋" w:hAnsi="仿宋" w:eastAsia="仿宋" w:cs="仿宋"/>
        </w:rPr>
      </w:pPr>
      <w:r>
        <w:rPr>
          <w:rFonts w:hint="eastAsia" w:ascii="仿宋" w:hAnsi="仿宋" w:eastAsia="仿宋" w:cs="仿宋"/>
        </w:rPr>
        <w:t>5.市场调查及信息数据分析；</w:t>
      </w:r>
    </w:p>
    <w:p>
      <w:pPr>
        <w:spacing w:line="360" w:lineRule="auto"/>
        <w:ind w:firstLine="420" w:firstLineChars="200"/>
        <w:rPr>
          <w:rFonts w:ascii="仿宋" w:hAnsi="仿宋" w:eastAsia="仿宋" w:cs="仿宋"/>
        </w:rPr>
      </w:pPr>
      <w:r>
        <w:rPr>
          <w:rFonts w:hint="eastAsia" w:ascii="仿宋" w:hAnsi="仿宋" w:eastAsia="仿宋" w:cs="仿宋"/>
        </w:rPr>
        <w:t>6.依法或经有权机关要求进行提供；</w:t>
      </w:r>
    </w:p>
    <w:p>
      <w:pPr>
        <w:spacing w:line="360" w:lineRule="auto"/>
        <w:ind w:firstLine="420" w:firstLineChars="200"/>
        <w:rPr>
          <w:rFonts w:ascii="仿宋" w:hAnsi="仿宋" w:eastAsia="仿宋" w:cs="仿宋"/>
        </w:rPr>
      </w:pPr>
      <w:r>
        <w:rPr>
          <w:rFonts w:hint="eastAsia" w:ascii="仿宋" w:hAnsi="仿宋" w:eastAsia="仿宋" w:cs="仿宋"/>
        </w:rPr>
        <w:t>7.其他本人向贵行申请或办理的业务。</w:t>
      </w:r>
    </w:p>
    <w:p>
      <w:pPr>
        <w:spacing w:line="360" w:lineRule="auto"/>
        <w:ind w:firstLine="422" w:firstLineChars="200"/>
        <w:rPr>
          <w:rFonts w:ascii="仿宋" w:hAnsi="仿宋" w:eastAsia="仿宋" w:cs="仿宋"/>
          <w:b/>
        </w:rPr>
      </w:pPr>
      <w:r>
        <w:rPr>
          <w:rFonts w:hint="eastAsia" w:ascii="仿宋" w:hAnsi="仿宋" w:eastAsia="仿宋" w:cs="仿宋"/>
          <w:b/>
        </w:rPr>
        <w:t>（二）</w:t>
      </w:r>
      <w:r>
        <w:rPr>
          <w:rFonts w:hint="eastAsia" w:ascii="仿宋" w:hAnsi="仿宋" w:eastAsia="仿宋" w:cs="仿宋"/>
          <w:b/>
          <w:szCs w:val="21"/>
        </w:rPr>
        <w:t>本人同意并授权被授权人将本人的姓名、身份证号、电话号码提供给合法设立的百行征信有限公司、朴道征信有限公司及其他合法征信机构、数据信息机构（涉及机构名单详见附件），用于身份匹配</w:t>
      </w:r>
      <w:r>
        <w:rPr>
          <w:rFonts w:hint="eastAsia" w:ascii="仿宋" w:hAnsi="仿宋" w:eastAsia="仿宋" w:cs="仿宋"/>
          <w:b/>
        </w:rPr>
        <w:t>；本人同意并授权前述征信机构、数据信息机构基于为被授权人提供的服务所需，有权向被授权人和合法留存本人信息的机构（包括但不限于公安机关、司法、教育、全国公民身份证号码查询服务中心、通信运营商、银联、社保、公积金、税务、民政、物流、电子商务平台、互联网平台、行业协会等合法留存本人信息的第三方机构等）获取必要信息（如：本人的基本信息、借贷信息、其他相关信息，包括但不限于本人的身份、地址、交通、通信、债务、财产、支付、消费、生产经营、履行法定义务等信息，以及基于前述信息对个人信用状况形成的分析、评价类信息、可能对本人产生负面影响的不良信息）进行存储、整理、保存，加工，并将采集的信息或处理结果提供给经本人授权的被授权人使用，本人同意百行征信、朴道征信等被授权人采集本条约定的前述信息之前已充分理解并知悉提供该等信息可能会对本人产生的影响；为便于被授权人更好的向本人提供金融服务，被授权人可以向与本人业务有关的被授权人合作伙伴提供本人个人信息；</w:t>
      </w:r>
      <w:r>
        <w:rPr>
          <w:rFonts w:hint="eastAsia" w:ascii="仿宋" w:hAnsi="仿宋" w:eastAsia="仿宋" w:cs="仿宋"/>
          <w:b/>
          <w:bCs/>
          <w:color w:val="000000"/>
        </w:rPr>
        <w:t>在本人发生逾期还款、纠纷、催收、公告等情况时，被授权人可将本人个人信息提供给催收公司、律师事务所、法院、仲裁机构或其他有权机关（以催收及争议解决所需为限），</w:t>
      </w:r>
      <w:r>
        <w:rPr>
          <w:rFonts w:hint="eastAsia" w:ascii="仿宋" w:hAnsi="仿宋" w:eastAsia="仿宋" w:cs="仿宋"/>
          <w:b/>
        </w:rPr>
        <w:t>同时允许上述机构在不违反法律法规的前提下可对外披露本人的信用信息。上述信息的保存期限为法律法规要求的最短时间，其中个人不良信息的保存期限为自不良行为或事件终止之日起5年。</w:t>
      </w:r>
    </w:p>
    <w:p>
      <w:pPr>
        <w:spacing w:line="360" w:lineRule="auto"/>
        <w:ind w:firstLine="422" w:firstLineChars="200"/>
        <w:rPr>
          <w:rFonts w:ascii="仿宋" w:hAnsi="仿宋" w:eastAsia="仿宋" w:cs="仿宋"/>
          <w:b/>
        </w:rPr>
      </w:pPr>
      <w:r>
        <w:rPr>
          <w:rFonts w:hint="eastAsia" w:ascii="仿宋" w:hAnsi="仿宋" w:eastAsia="仿宋" w:cs="仿宋"/>
          <w:b/>
        </w:rPr>
        <w:t>（三）授权被授权人将本人信息提供给依法设立的电子认证服务提供者，用以提供第三方电子缔约认证服务，并授权被授权人通过数字证书对经本人勾选确认的各类数据电文或电子缔约文件等进行电子签名和验签、对签名后的数据电文或电子缔约文件进行存储、提取和管理。</w:t>
      </w:r>
    </w:p>
    <w:p>
      <w:pPr>
        <w:spacing w:line="360" w:lineRule="auto"/>
        <w:ind w:firstLine="422" w:firstLineChars="200"/>
        <w:rPr>
          <w:rFonts w:ascii="仿宋" w:hAnsi="仿宋" w:eastAsia="仿宋" w:cs="仿宋"/>
          <w:b/>
        </w:rPr>
      </w:pPr>
      <w:r>
        <w:rPr>
          <w:rFonts w:hint="eastAsia" w:ascii="仿宋" w:hAnsi="仿宋" w:eastAsia="仿宋" w:cs="仿宋"/>
          <w:b/>
        </w:rPr>
        <w:t>（四）同意通过四川省成都市中大公证处（以下简称“公证处”）清洁环境登录并访问相关网站/APP/小程序或使用公证处为本人提供的用于电子数据鉴证的专用邮箱服务或工作人员远程对话服务并申请获取的【收入类、流水类、交通证件类、资产类、资质评分额度类】等电子数据及相关凭证；授权公证处对本人获取的电子数据及相关凭证进行保管、上链，并发送给被授权人；同意公证处向本人或向贵行收集本人的姓名、身份证号、有效期限及其他必要信息用于实名认证，并预填入该信息在网站/APP/小程序中。本人充分理解并已明确授权公证处获取姓名、身份证件或者身份证明文件的种类及号码、联系方式等必要信息，用于确认真实身份。如因本人未及时更新上述资料导致公证处服务无法正常提供或提供时发生任何错误，公证处不承担任何责任。</w:t>
      </w:r>
    </w:p>
    <w:p>
      <w:pPr>
        <w:spacing w:line="360" w:lineRule="auto"/>
        <w:ind w:firstLine="422" w:firstLineChars="200"/>
        <w:rPr>
          <w:rFonts w:ascii="仿宋" w:hAnsi="仿宋" w:eastAsia="仿宋" w:cs="仿宋"/>
          <w:b/>
          <w:szCs w:val="21"/>
        </w:rPr>
      </w:pPr>
      <w:r>
        <w:rPr>
          <w:rFonts w:hint="eastAsia" w:ascii="仿宋" w:hAnsi="仿宋" w:eastAsia="仿宋" w:cs="仿宋"/>
          <w:b/>
        </w:rPr>
        <w:t>（五）</w:t>
      </w:r>
      <w:r>
        <w:rPr>
          <w:rFonts w:hint="eastAsia" w:ascii="仿宋" w:hAnsi="仿宋" w:eastAsia="仿宋" w:cs="仿宋"/>
          <w:b/>
          <w:szCs w:val="21"/>
        </w:rPr>
        <w:t>本人知悉，基于商业秘密保护和技术限制等原因，贵行及贵行合作伙伴可能无法百分百核实附件所列机构采集、存储、加工和使用本人相关个人信息的行为是否完全取得了本人明确授权，本人在此豁免贵行及贵行合作伙伴可能因此对本人负有的任何法律责任，并承诺不会就此向贵行及贵行合作伙伴主张任何权利。</w:t>
      </w:r>
    </w:p>
    <w:p>
      <w:pPr>
        <w:spacing w:line="360" w:lineRule="auto"/>
        <w:ind w:firstLine="422" w:firstLineChars="200"/>
        <w:rPr>
          <w:rFonts w:ascii="仿宋" w:hAnsi="仿宋" w:eastAsia="仿宋" w:cs="仿宋"/>
          <w:b/>
        </w:rPr>
      </w:pPr>
      <w:r>
        <w:rPr>
          <w:rFonts w:hint="eastAsia" w:ascii="仿宋" w:hAnsi="仿宋" w:eastAsia="仿宋" w:cs="仿宋"/>
          <w:b/>
        </w:rPr>
        <w:t>二、授权期限</w:t>
      </w:r>
    </w:p>
    <w:p>
      <w:pPr>
        <w:spacing w:line="360" w:lineRule="auto"/>
        <w:ind w:firstLine="420" w:firstLineChars="200"/>
        <w:rPr>
          <w:rFonts w:ascii="仿宋" w:hAnsi="仿宋" w:eastAsia="仿宋" w:cs="仿宋"/>
          <w:b w:val="0"/>
        </w:rPr>
      </w:pPr>
      <w:r>
        <w:rPr>
          <w:rFonts w:hint="eastAsia" w:ascii="仿宋" w:hAnsi="仿宋" w:eastAsia="仿宋" w:cs="仿宋"/>
        </w:rPr>
        <w:t>本授权书有效期为：自本人签署之日起，至本人/被担保人/授信申请人与贵行的所有信贷业务结清且担保责任解除之日止，</w:t>
      </w:r>
      <w:r>
        <w:rPr>
          <w:rFonts w:hint="eastAsia" w:ascii="仿宋" w:hAnsi="仿宋" w:eastAsia="仿宋" w:cs="仿宋"/>
          <w:b/>
        </w:rPr>
        <w:t>但本人/被担保人/授信申请人在贵行有借款额度但无借款余额情况下，本人/被担保人/授信申请人与贵行的业务关系仍然存续，被授权人仍有权按照第一条授权查询、报送本人的信用信息。若本人/被担保人/授信申请人在贵行处办理的业务未获批准，本人同意被授权人继续保留此授权书和相应身份及申请所留信息。</w:t>
      </w:r>
    </w:p>
    <w:p>
      <w:pPr>
        <w:spacing w:line="360" w:lineRule="auto"/>
        <w:ind w:firstLine="422" w:firstLineChars="200"/>
        <w:rPr>
          <w:rFonts w:ascii="仿宋" w:hAnsi="仿宋" w:eastAsia="仿宋" w:cs="仿宋"/>
          <w:b/>
        </w:rPr>
      </w:pPr>
      <w:r>
        <w:rPr>
          <w:rFonts w:hint="eastAsia" w:ascii="仿宋" w:hAnsi="仿宋" w:eastAsia="仿宋" w:cs="仿宋"/>
          <w:b/>
        </w:rPr>
        <w:t>三、本人声明：</w:t>
      </w:r>
    </w:p>
    <w:p>
      <w:pPr>
        <w:spacing w:line="360" w:lineRule="auto"/>
        <w:ind w:firstLine="422" w:firstLineChars="200"/>
        <w:rPr>
          <w:rFonts w:ascii="仿宋" w:hAnsi="仿宋" w:eastAsia="仿宋" w:cs="仿宋"/>
          <w:b/>
        </w:rPr>
      </w:pPr>
      <w:r>
        <w:rPr>
          <w:rFonts w:hint="eastAsia" w:ascii="仿宋" w:hAnsi="仿宋" w:eastAsia="仿宋" w:cs="仿宋"/>
          <w:b/>
        </w:rPr>
        <w:t>（一）授权独立性：本授权书独立于</w:t>
      </w:r>
      <w:r>
        <w:rPr>
          <w:rFonts w:hint="eastAsia" w:ascii="仿宋" w:hAnsi="仿宋" w:eastAsia="仿宋" w:cs="仿宋"/>
          <w:b/>
          <w:lang w:val="en-US" w:eastAsia="zh-CN"/>
        </w:rPr>
        <w:t>授信合同、</w:t>
      </w:r>
      <w:r>
        <w:rPr>
          <w:rFonts w:hint="eastAsia" w:ascii="仿宋" w:hAnsi="仿宋" w:eastAsia="仿宋" w:cs="仿宋"/>
          <w:b/>
        </w:rPr>
        <w:t>借款合同、担保合同</w:t>
      </w:r>
      <w:r>
        <w:rPr>
          <w:rFonts w:hint="eastAsia" w:ascii="仿宋" w:hAnsi="仿宋" w:eastAsia="仿宋" w:cs="仿宋"/>
          <w:b/>
          <w:lang w:eastAsia="zh-CN"/>
        </w:rPr>
        <w:t>（</w:t>
      </w:r>
      <w:r>
        <w:rPr>
          <w:rFonts w:hint="eastAsia" w:ascii="仿宋" w:hAnsi="仿宋" w:eastAsia="仿宋" w:cs="仿宋"/>
          <w:b/>
          <w:lang w:val="en-US" w:eastAsia="zh-CN"/>
        </w:rPr>
        <w:t>以下合称“主合同”</w:t>
      </w:r>
      <w:r>
        <w:rPr>
          <w:rFonts w:hint="eastAsia" w:ascii="仿宋" w:hAnsi="仿宋" w:eastAsia="仿宋" w:cs="仿宋"/>
          <w:b/>
          <w:lang w:eastAsia="zh-CN"/>
        </w:rPr>
        <w:t>）</w:t>
      </w:r>
      <w:r>
        <w:rPr>
          <w:rFonts w:hint="eastAsia" w:ascii="仿宋" w:hAnsi="仿宋" w:eastAsia="仿宋" w:cs="仿宋"/>
          <w:b/>
        </w:rPr>
        <w:t>，若主合同无效，不影响本授权书效力。若本授权书系在线勾选确认的，本人同意本授权书以数据电文形式订立，本人将不会因此否认本授权书的法律效力。</w:t>
      </w:r>
    </w:p>
    <w:p>
      <w:pPr>
        <w:spacing w:line="360" w:lineRule="auto"/>
        <w:ind w:firstLine="422" w:firstLineChars="200"/>
        <w:rPr>
          <w:rFonts w:ascii="仿宋" w:hAnsi="仿宋" w:eastAsia="仿宋" w:cs="仿宋"/>
          <w:b/>
        </w:rPr>
      </w:pPr>
      <w:r>
        <w:rPr>
          <w:rFonts w:hint="eastAsia" w:ascii="仿宋" w:hAnsi="仿宋" w:eastAsia="仿宋" w:cs="仿宋"/>
          <w:b/>
        </w:rPr>
        <w:t>（二）争议解决：因本授权书产生的争议，提交贵行住所在有管辖权的人民法院管辖，</w:t>
      </w:r>
      <w:r>
        <w:rPr>
          <w:rFonts w:hint="eastAsia" w:ascii="仿宋" w:hAnsi="仿宋" w:eastAsia="仿宋" w:cs="仿宋"/>
          <w:b/>
          <w:bCs w:val="0"/>
        </w:rPr>
        <w:t>适用中华人民共和国大陆地区法律</w:t>
      </w:r>
      <w:r>
        <w:rPr>
          <w:rFonts w:hint="eastAsia" w:ascii="仿宋" w:hAnsi="仿宋" w:eastAsia="仿宋" w:cs="仿宋"/>
          <w:b/>
        </w:rPr>
        <w:t>。</w:t>
      </w:r>
    </w:p>
    <w:p>
      <w:pPr>
        <w:spacing w:line="360" w:lineRule="auto"/>
        <w:ind w:firstLine="422" w:firstLineChars="200"/>
        <w:rPr>
          <w:rFonts w:ascii="仿宋" w:hAnsi="仿宋" w:eastAsia="仿宋" w:cs="仿宋"/>
          <w:b/>
        </w:rPr>
      </w:pPr>
      <w:r>
        <w:rPr>
          <w:rFonts w:hint="eastAsia" w:ascii="仿宋" w:hAnsi="仿宋" w:eastAsia="仿宋" w:cs="仿宋"/>
          <w:b/>
        </w:rPr>
        <w:t>（三）</w:t>
      </w:r>
      <w:r>
        <w:rPr>
          <w:rFonts w:hint="eastAsia" w:ascii="仿宋" w:hAnsi="仿宋" w:eastAsia="仿宋" w:cs="仿宋"/>
          <w:b/>
          <w:szCs w:val="21"/>
        </w:rPr>
        <w:t>风险知悉：贵行已向本人明确告知上述授权行为可能给本人带来信用或财产损失，可能导致本人无法通过贵行的授信审查，以及其他可能的不利后果（如信息不当泄露可能被不法分子利用），</w:t>
      </w:r>
      <w:r>
        <w:rPr>
          <w:rFonts w:hint="eastAsia" w:ascii="仿宋" w:hAnsi="仿宋" w:eastAsia="仿宋" w:cs="仿宋"/>
          <w:b/>
        </w:rPr>
        <w:t>本人已知悉本授权书所有内容（特别是加黑加粗字体条款），并对本授权书条款的含义及相应的法律后果已全部通晓并充分理解，自愿做出上述授权，本授权书一经勾选/签署即视为本人同意本授权书内容，并同意承担由此带来的一切法律后果。</w:t>
      </w:r>
    </w:p>
    <w:p>
      <w:pPr>
        <w:spacing w:line="360" w:lineRule="auto"/>
        <w:ind w:firstLine="422" w:firstLineChars="200"/>
        <w:rPr>
          <w:rFonts w:ascii="仿宋" w:hAnsi="仿宋" w:eastAsia="仿宋" w:cs="仿宋"/>
          <w:b/>
        </w:rPr>
      </w:pPr>
      <w:r>
        <w:rPr>
          <w:rFonts w:hint="eastAsia" w:ascii="仿宋" w:hAnsi="仿宋" w:eastAsia="仿宋" w:cs="仿宋"/>
          <w:b/>
        </w:rPr>
        <w:t>四、附件效力</w:t>
      </w:r>
    </w:p>
    <w:p>
      <w:pPr>
        <w:spacing w:line="360" w:lineRule="auto"/>
        <w:ind w:firstLine="420" w:firstLineChars="200"/>
        <w:rPr>
          <w:rFonts w:hint="eastAsia" w:ascii="仿宋" w:hAnsi="仿宋" w:eastAsia="仿宋" w:cs="仿宋"/>
          <w:b w:val="0"/>
          <w:bCs/>
        </w:rPr>
      </w:pPr>
      <w:r>
        <w:rPr>
          <w:rFonts w:hint="eastAsia" w:ascii="仿宋" w:hAnsi="仿宋" w:eastAsia="仿宋" w:cs="仿宋"/>
          <w:b w:val="0"/>
          <w:bCs/>
        </w:rPr>
        <w:t>本附件《第三方机构信息采集清单》作为授权书不可分割的部分，与</w:t>
      </w:r>
      <w:r>
        <w:rPr>
          <w:rFonts w:hint="eastAsia" w:ascii="仿宋" w:hAnsi="仿宋" w:eastAsia="仿宋" w:cs="仿宋"/>
          <w:b w:val="0"/>
          <w:bCs/>
          <w:lang w:val="en-US" w:eastAsia="zh-CN"/>
        </w:rPr>
        <w:t>本授权书</w:t>
      </w:r>
      <w:r>
        <w:rPr>
          <w:rFonts w:hint="eastAsia" w:ascii="仿宋" w:hAnsi="仿宋" w:eastAsia="仿宋" w:cs="仿宋"/>
          <w:b w:val="0"/>
          <w:bCs/>
        </w:rPr>
        <w:t>具有同等法律效力。</w:t>
      </w:r>
    </w:p>
    <w:p>
      <w:pPr>
        <w:spacing w:line="360" w:lineRule="auto"/>
        <w:ind w:firstLine="4427" w:firstLineChars="2100"/>
        <w:rPr>
          <w:rFonts w:ascii="仿宋" w:hAnsi="仿宋" w:eastAsia="仿宋" w:cs="仿宋"/>
          <w:b/>
        </w:rPr>
      </w:pPr>
      <w:r>
        <w:rPr>
          <w:rFonts w:hint="eastAsia" w:ascii="仿宋" w:hAnsi="仿宋" w:eastAsia="仿宋" w:cs="仿宋"/>
          <w:b/>
        </w:rPr>
        <w:t>授权人：</w:t>
      </w:r>
    </w:p>
    <w:p>
      <w:pPr>
        <w:ind w:firstLine="4427" w:firstLineChars="2100"/>
        <w:rPr>
          <w:rFonts w:ascii="仿宋" w:hAnsi="仿宋" w:eastAsia="仿宋" w:cs="仿宋"/>
          <w:b/>
        </w:rPr>
      </w:pPr>
      <w:r>
        <w:rPr>
          <w:rFonts w:hint="eastAsia" w:ascii="仿宋" w:hAnsi="仿宋" w:eastAsia="仿宋" w:cs="仿宋"/>
          <w:b/>
        </w:rPr>
        <w:t>日期：年月日</w:t>
      </w:r>
    </w:p>
    <w:p>
      <w:pPr>
        <w:rPr>
          <w:rFonts w:ascii="仿宋" w:hAnsi="仿宋" w:eastAsia="仿宋" w:cs="仿宋"/>
          <w:b/>
        </w:rPr>
      </w:pPr>
      <w:bookmarkStart w:id="0" w:name="_GoBack"/>
      <w:bookmarkEnd w:id="0"/>
    </w:p>
    <w:p>
      <w:pPr>
        <w:rPr>
          <w:rFonts w:ascii="仿宋" w:hAnsi="仿宋" w:eastAsia="仿宋" w:cs="仿宋"/>
          <w:b/>
        </w:rPr>
      </w:pPr>
      <w:r>
        <w:rPr>
          <w:rFonts w:hint="eastAsia" w:ascii="仿宋" w:hAnsi="仿宋" w:eastAsia="仿宋" w:cs="仿宋"/>
          <w:b/>
        </w:rPr>
        <w:br w:type="page"/>
      </w:r>
    </w:p>
    <w:p>
      <w:pPr>
        <w:widowControl/>
        <w:rPr>
          <w:rFonts w:ascii="仿宋" w:hAnsi="仿宋" w:eastAsia="仿宋" w:cs="仿宋"/>
          <w:b/>
          <w:szCs w:val="21"/>
        </w:rPr>
      </w:pPr>
      <w:r>
        <w:rPr>
          <w:rFonts w:hint="eastAsia" w:ascii="仿宋" w:hAnsi="仿宋" w:eastAsia="仿宋" w:cs="仿宋"/>
          <w:b/>
          <w:szCs w:val="21"/>
        </w:rPr>
        <w:t>附件：</w:t>
      </w:r>
    </w:p>
    <w:tbl>
      <w:tblPr>
        <w:tblStyle w:val="9"/>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950"/>
        <w:gridCol w:w="2112"/>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5" w:type="dxa"/>
            <w:gridSpan w:val="4"/>
            <w:vAlign w:val="center"/>
          </w:tcPr>
          <w:p>
            <w:pPr>
              <w:widowControl/>
              <w:spacing w:line="360" w:lineRule="auto"/>
              <w:jc w:val="center"/>
              <w:rPr>
                <w:rFonts w:ascii="仿宋" w:hAnsi="仿宋" w:eastAsia="仿宋" w:cs="仿宋"/>
                <w:b/>
                <w:szCs w:val="21"/>
              </w:rPr>
            </w:pPr>
            <w:r>
              <w:rPr>
                <w:rFonts w:hint="eastAsia" w:ascii="仿宋" w:hAnsi="仿宋" w:eastAsia="仿宋" w:cs="仿宋"/>
                <w:b/>
                <w:szCs w:val="21"/>
              </w:rPr>
              <w:t>客户授权被授权人收集和提供个人信息的机构名单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idowControl/>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1950" w:type="dxa"/>
            <w:vAlign w:val="center"/>
          </w:tcPr>
          <w:p>
            <w:pPr>
              <w:widowControl/>
              <w:spacing w:line="360" w:lineRule="auto"/>
              <w:jc w:val="center"/>
              <w:rPr>
                <w:rFonts w:ascii="仿宋" w:hAnsi="仿宋" w:eastAsia="仿宋" w:cs="仿宋"/>
                <w:b/>
                <w:szCs w:val="21"/>
              </w:rPr>
            </w:pPr>
            <w:r>
              <w:rPr>
                <w:rFonts w:hint="eastAsia" w:ascii="仿宋" w:hAnsi="仿宋" w:eastAsia="仿宋" w:cs="仿宋"/>
                <w:b/>
                <w:szCs w:val="21"/>
              </w:rPr>
              <w:t>第三方机构名称</w:t>
            </w:r>
          </w:p>
        </w:tc>
        <w:tc>
          <w:tcPr>
            <w:tcW w:w="2112" w:type="dxa"/>
            <w:vAlign w:val="center"/>
          </w:tcPr>
          <w:p>
            <w:pPr>
              <w:widowControl/>
              <w:spacing w:line="360" w:lineRule="auto"/>
              <w:jc w:val="center"/>
              <w:rPr>
                <w:rFonts w:ascii="仿宋" w:hAnsi="仿宋" w:eastAsia="仿宋" w:cs="仿宋"/>
                <w:b/>
                <w:szCs w:val="21"/>
              </w:rPr>
            </w:pPr>
            <w:r>
              <w:rPr>
                <w:rFonts w:hint="eastAsia" w:ascii="仿宋" w:hAnsi="仿宋" w:eastAsia="仿宋" w:cs="仿宋"/>
                <w:b/>
                <w:szCs w:val="21"/>
              </w:rPr>
              <w:t>涉及信息类型</w:t>
            </w:r>
          </w:p>
        </w:tc>
        <w:tc>
          <w:tcPr>
            <w:tcW w:w="2972" w:type="dxa"/>
            <w:vAlign w:val="center"/>
          </w:tcPr>
          <w:p>
            <w:pPr>
              <w:widowControl/>
              <w:spacing w:line="360" w:lineRule="auto"/>
              <w:jc w:val="center"/>
              <w:rPr>
                <w:rFonts w:ascii="仿宋" w:hAnsi="仿宋" w:eastAsia="仿宋" w:cs="仿宋"/>
                <w:b/>
                <w:szCs w:val="21"/>
              </w:rPr>
            </w:pPr>
            <w:r>
              <w:rPr>
                <w:rFonts w:hint="eastAsia" w:ascii="仿宋" w:hAnsi="仿宋" w:eastAsia="仿宋" w:cs="仿宋"/>
                <w:b/>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w:t>
            </w:r>
          </w:p>
        </w:tc>
        <w:tc>
          <w:tcPr>
            <w:tcW w:w="1950" w:type="dxa"/>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color w:val="000000"/>
                <w:kern w:val="0"/>
                <w:szCs w:val="21"/>
                <w:lang w:bidi="ar"/>
              </w:rPr>
              <w:t>百行征信有限公司</w:t>
            </w:r>
          </w:p>
        </w:tc>
        <w:tc>
          <w:tcPr>
            <w:tcW w:w="2112" w:type="dxa"/>
            <w:vAlign w:val="center"/>
          </w:tcPr>
          <w:p>
            <w:pPr>
              <w:widowControl/>
              <w:spacing w:line="360" w:lineRule="auto"/>
              <w:jc w:val="center"/>
              <w:rPr>
                <w:rFonts w:ascii="仿宋" w:hAnsi="仿宋" w:eastAsia="仿宋" w:cs="仿宋"/>
                <w:szCs w:val="21"/>
              </w:rPr>
            </w:pPr>
            <w:r>
              <w:rPr>
                <w:rFonts w:hint="eastAsia" w:ascii="仿宋" w:hAnsi="仿宋" w:eastAsia="仿宋" w:cs="仿宋"/>
              </w:rPr>
              <w:t>个人身份、通信、履行法定义务等信息、债务、支付消费、借贷行为等</w:t>
            </w:r>
          </w:p>
        </w:tc>
        <w:tc>
          <w:tcPr>
            <w:tcW w:w="2972" w:type="dxa"/>
            <w:vAlign w:val="center"/>
          </w:tcPr>
          <w:p>
            <w:pPr>
              <w:widowControl/>
              <w:spacing w:line="360" w:lineRule="auto"/>
              <w:jc w:val="center"/>
              <w:rPr>
                <w:rFonts w:ascii="仿宋" w:hAnsi="仿宋" w:eastAsia="仿宋" w:cs="仿宋"/>
              </w:rPr>
            </w:pPr>
            <w:r>
              <w:rPr>
                <w:rFonts w:hint="eastAsia" w:ascii="仿宋" w:hAnsi="仿宋" w:eastAsia="仿宋" w:cs="仿宋"/>
              </w:rPr>
              <w:t>bhcs@baihangcredit.com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2.</w:t>
            </w:r>
          </w:p>
        </w:tc>
        <w:tc>
          <w:tcPr>
            <w:tcW w:w="1950" w:type="dxa"/>
            <w:vAlign w:val="center"/>
          </w:tcPr>
          <w:p>
            <w:pPr>
              <w:widowControl/>
              <w:spacing w:line="360"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朴道征信有限公司</w:t>
            </w:r>
          </w:p>
        </w:tc>
        <w:tc>
          <w:tcPr>
            <w:tcW w:w="2112" w:type="dxa"/>
            <w:vAlign w:val="center"/>
          </w:tcPr>
          <w:p>
            <w:pPr>
              <w:widowControl/>
              <w:spacing w:line="360" w:lineRule="auto"/>
              <w:jc w:val="center"/>
              <w:rPr>
                <w:rFonts w:ascii="仿宋" w:hAnsi="仿宋" w:eastAsia="仿宋" w:cs="仿宋"/>
              </w:rPr>
            </w:pPr>
            <w:r>
              <w:rPr>
                <w:rFonts w:hint="eastAsia" w:ascii="仿宋" w:hAnsi="仿宋" w:eastAsia="仿宋" w:cs="仿宋"/>
              </w:rPr>
              <w:t>个人身份、通信、履行法定义务等信息、债务、支付消费、借贷行为等</w:t>
            </w:r>
          </w:p>
        </w:tc>
        <w:tc>
          <w:tcPr>
            <w:tcW w:w="2972" w:type="dxa"/>
            <w:vAlign w:val="center"/>
          </w:tcPr>
          <w:p>
            <w:pPr>
              <w:widowControl/>
              <w:spacing w:line="360" w:lineRule="auto"/>
              <w:jc w:val="center"/>
              <w:rPr>
                <w:rFonts w:ascii="仿宋" w:hAnsi="仿宋" w:eastAsia="仿宋" w:cs="仿宋"/>
                <w:bCs/>
              </w:rPr>
            </w:pPr>
            <w:r>
              <w:fldChar w:fldCharType="begin"/>
            </w:r>
            <w:r>
              <w:instrText xml:space="preserve"> HYPERLINK "mailto:service@pudaocredit.cn" </w:instrText>
            </w:r>
            <w:r>
              <w:fldChar w:fldCharType="separate"/>
            </w:r>
            <w:r>
              <w:rPr>
                <w:rFonts w:hint="eastAsia" w:ascii="仿宋" w:hAnsi="仿宋" w:eastAsia="仿宋" w:cs="仿宋"/>
              </w:rPr>
              <w:t>service@pudaocredit.cn</w:t>
            </w:r>
            <w:r>
              <w:rPr>
                <w:rFonts w:hint="eastAsia" w:ascii="仿宋" w:hAnsi="仿宋" w:eastAsia="仿宋" w:cs="仿宋"/>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3.</w:t>
            </w:r>
          </w:p>
        </w:tc>
        <w:tc>
          <w:tcPr>
            <w:tcW w:w="1950" w:type="dxa"/>
            <w:vAlign w:val="center"/>
          </w:tcPr>
          <w:p>
            <w:pPr>
              <w:widowControl/>
              <w:spacing w:line="360"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中国司法大数据研究院有限公司</w:t>
            </w:r>
          </w:p>
        </w:tc>
        <w:tc>
          <w:tcPr>
            <w:tcW w:w="2112" w:type="dxa"/>
            <w:vAlign w:val="center"/>
          </w:tcPr>
          <w:p>
            <w:pPr>
              <w:widowControl/>
              <w:spacing w:line="360" w:lineRule="auto"/>
              <w:jc w:val="center"/>
              <w:rPr>
                <w:rFonts w:ascii="仿宋" w:hAnsi="仿宋" w:eastAsia="仿宋" w:cs="仿宋"/>
              </w:rPr>
            </w:pPr>
            <w:r>
              <w:rPr>
                <w:rFonts w:hint="eastAsia" w:ascii="仿宋" w:hAnsi="仿宋" w:eastAsia="仿宋" w:cs="仿宋"/>
              </w:rPr>
              <w:t>履行法定义务等信息、债务</w:t>
            </w:r>
          </w:p>
        </w:tc>
        <w:tc>
          <w:tcPr>
            <w:tcW w:w="2972" w:type="dxa"/>
            <w:vAlign w:val="center"/>
          </w:tcPr>
          <w:p>
            <w:pPr>
              <w:widowControl/>
              <w:spacing w:line="360" w:lineRule="auto"/>
              <w:jc w:val="center"/>
              <w:rPr>
                <w:rFonts w:ascii="仿宋" w:hAnsi="仿宋" w:eastAsia="仿宋" w:cs="仿宋"/>
              </w:rPr>
            </w:pPr>
            <w:r>
              <w:rPr>
                <w:rFonts w:hint="eastAsia" w:ascii="仿宋" w:hAnsi="仿宋" w:eastAsia="仿宋" w:cs="仿宋"/>
              </w:rPr>
              <w:t>010-68772299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4.</w:t>
            </w:r>
          </w:p>
        </w:tc>
        <w:tc>
          <w:tcPr>
            <w:tcW w:w="1950" w:type="dxa"/>
            <w:vAlign w:val="center"/>
          </w:tcPr>
          <w:p>
            <w:pPr>
              <w:widowControl/>
              <w:spacing w:line="360"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联通（四川）产业互联网有限公司</w:t>
            </w:r>
          </w:p>
        </w:tc>
        <w:tc>
          <w:tcPr>
            <w:tcW w:w="2112" w:type="dxa"/>
            <w:vAlign w:val="center"/>
          </w:tcPr>
          <w:p>
            <w:pPr>
              <w:widowControl/>
              <w:spacing w:line="360" w:lineRule="auto"/>
              <w:jc w:val="center"/>
              <w:rPr>
                <w:rFonts w:ascii="仿宋" w:hAnsi="仿宋" w:eastAsia="仿宋" w:cs="仿宋"/>
              </w:rPr>
            </w:pPr>
            <w:r>
              <w:rPr>
                <w:rFonts w:hint="eastAsia" w:ascii="仿宋" w:hAnsi="仿宋" w:eastAsia="仿宋" w:cs="仿宋"/>
              </w:rPr>
              <w:t>基础核验</w:t>
            </w:r>
          </w:p>
        </w:tc>
        <w:tc>
          <w:tcPr>
            <w:tcW w:w="2972" w:type="dxa"/>
            <w:vAlign w:val="center"/>
          </w:tcPr>
          <w:p>
            <w:pPr>
              <w:widowControl/>
              <w:spacing w:line="360" w:lineRule="auto"/>
              <w:jc w:val="center"/>
              <w:rPr>
                <w:rFonts w:ascii="仿宋" w:hAnsi="仿宋" w:eastAsia="仿宋" w:cs="仿宋"/>
              </w:rPr>
            </w:pPr>
            <w:r>
              <w:rPr>
                <w:rFonts w:hint="eastAsia" w:ascii="仿宋" w:hAnsi="仿宋" w:eastAsia="仿宋" w:cs="仿宋"/>
              </w:rPr>
              <w:t>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5.</w:t>
            </w:r>
          </w:p>
        </w:tc>
        <w:tc>
          <w:tcPr>
            <w:tcW w:w="1950" w:type="dxa"/>
            <w:vAlign w:val="center"/>
          </w:tcPr>
          <w:p>
            <w:pPr>
              <w:widowControl/>
              <w:spacing w:line="360"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中国电信股份有限公司成都分公司</w:t>
            </w:r>
          </w:p>
        </w:tc>
        <w:tc>
          <w:tcPr>
            <w:tcW w:w="2112" w:type="dxa"/>
            <w:vAlign w:val="center"/>
          </w:tcPr>
          <w:p>
            <w:pPr>
              <w:widowControl/>
              <w:spacing w:line="360" w:lineRule="auto"/>
              <w:jc w:val="center"/>
              <w:rPr>
                <w:rFonts w:ascii="仿宋" w:hAnsi="仿宋" w:eastAsia="仿宋" w:cs="仿宋"/>
              </w:rPr>
            </w:pPr>
            <w:r>
              <w:rPr>
                <w:rFonts w:hint="eastAsia" w:ascii="仿宋" w:hAnsi="仿宋" w:eastAsia="仿宋" w:cs="仿宋"/>
              </w:rPr>
              <w:t>基础核验</w:t>
            </w:r>
          </w:p>
        </w:tc>
        <w:tc>
          <w:tcPr>
            <w:tcW w:w="2972" w:type="dxa"/>
            <w:vAlign w:val="center"/>
          </w:tcPr>
          <w:p>
            <w:pPr>
              <w:widowControl/>
              <w:spacing w:line="360" w:lineRule="auto"/>
              <w:jc w:val="center"/>
              <w:rPr>
                <w:rFonts w:ascii="仿宋" w:hAnsi="仿宋" w:eastAsia="仿宋" w:cs="仿宋"/>
              </w:rPr>
            </w:pPr>
            <w:r>
              <w:rPr>
                <w:rFonts w:hint="eastAsia" w:ascii="仿宋" w:hAnsi="仿宋" w:eastAsia="仿宋" w:cs="仿宋"/>
              </w:rPr>
              <w:t>028-84340788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6.</w:t>
            </w:r>
          </w:p>
        </w:tc>
        <w:tc>
          <w:tcPr>
            <w:tcW w:w="1950" w:type="dxa"/>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color w:val="000000"/>
                <w:kern w:val="0"/>
                <w:szCs w:val="21"/>
                <w:lang w:bidi="ar"/>
              </w:rPr>
              <w:t>腾讯云计算（北京）有限责任公司</w:t>
            </w:r>
          </w:p>
        </w:tc>
        <w:tc>
          <w:tcPr>
            <w:tcW w:w="2112" w:type="dxa"/>
            <w:vAlign w:val="center"/>
          </w:tcPr>
          <w:p>
            <w:pPr>
              <w:widowControl/>
              <w:spacing w:line="360" w:lineRule="auto"/>
              <w:jc w:val="center"/>
              <w:rPr>
                <w:rFonts w:ascii="仿宋" w:hAnsi="仿宋" w:eastAsia="仿宋" w:cs="仿宋"/>
                <w:b/>
                <w:szCs w:val="21"/>
              </w:rPr>
            </w:pPr>
            <w:r>
              <w:rPr>
                <w:rFonts w:hint="eastAsia" w:ascii="仿宋" w:hAnsi="仿宋" w:eastAsia="仿宋" w:cs="仿宋"/>
              </w:rPr>
              <w:t>基础核验</w:t>
            </w:r>
          </w:p>
        </w:tc>
        <w:tc>
          <w:tcPr>
            <w:tcW w:w="2972" w:type="dxa"/>
            <w:vAlign w:val="center"/>
          </w:tcPr>
          <w:p>
            <w:pPr>
              <w:widowControl/>
              <w:spacing w:line="360" w:lineRule="auto"/>
              <w:jc w:val="center"/>
              <w:rPr>
                <w:rFonts w:ascii="仿宋" w:hAnsi="仿宋" w:eastAsia="仿宋" w:cs="仿宋"/>
              </w:rPr>
            </w:pPr>
            <w:r>
              <w:rPr>
                <w:rFonts w:hint="eastAsia" w:ascii="仿宋" w:hAnsi="仿宋" w:eastAsia="仿宋" w:cs="仿宋"/>
              </w:rPr>
              <w:t>95716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7.</w:t>
            </w:r>
          </w:p>
        </w:tc>
        <w:tc>
          <w:tcPr>
            <w:tcW w:w="1950" w:type="dxa"/>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color w:val="000000"/>
                <w:kern w:val="0"/>
                <w:szCs w:val="21"/>
                <w:lang w:bidi="ar"/>
              </w:rPr>
              <w:t>百融云创科技股份有限公司</w:t>
            </w:r>
          </w:p>
        </w:tc>
        <w:tc>
          <w:tcPr>
            <w:tcW w:w="2112" w:type="dxa"/>
            <w:vAlign w:val="center"/>
          </w:tcPr>
          <w:p>
            <w:pPr>
              <w:widowControl/>
              <w:spacing w:line="360" w:lineRule="auto"/>
              <w:jc w:val="center"/>
              <w:rPr>
                <w:rFonts w:ascii="仿宋" w:hAnsi="仿宋" w:eastAsia="仿宋" w:cs="仿宋"/>
                <w:b/>
                <w:szCs w:val="21"/>
              </w:rPr>
            </w:pPr>
            <w:r>
              <w:rPr>
                <w:rFonts w:hint="eastAsia" w:ascii="仿宋" w:hAnsi="仿宋" w:eastAsia="仿宋" w:cs="仿宋"/>
              </w:rPr>
              <w:t>基础核验、履行法定义务信息</w:t>
            </w:r>
          </w:p>
        </w:tc>
        <w:tc>
          <w:tcPr>
            <w:tcW w:w="2972" w:type="dxa"/>
            <w:vAlign w:val="center"/>
          </w:tcPr>
          <w:p>
            <w:pPr>
              <w:widowControl/>
              <w:spacing w:line="360" w:lineRule="auto"/>
              <w:jc w:val="center"/>
              <w:rPr>
                <w:rFonts w:ascii="仿宋" w:hAnsi="仿宋" w:eastAsia="仿宋" w:cs="仿宋"/>
              </w:rPr>
            </w:pPr>
            <w:r>
              <w:rPr>
                <w:rFonts w:hint="eastAsia" w:ascii="仿宋" w:hAnsi="仿宋" w:eastAsia="仿宋" w:cs="仿宋"/>
              </w:rPr>
              <w:t>csc@brgroup.com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8.</w:t>
            </w:r>
          </w:p>
        </w:tc>
        <w:tc>
          <w:tcPr>
            <w:tcW w:w="1950" w:type="dxa"/>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color w:val="000000"/>
                <w:kern w:val="0"/>
                <w:szCs w:val="21"/>
                <w:lang w:bidi="ar"/>
              </w:rPr>
              <w:t>上海北溟信息科技有限公司</w:t>
            </w:r>
          </w:p>
        </w:tc>
        <w:tc>
          <w:tcPr>
            <w:tcW w:w="2112" w:type="dxa"/>
            <w:vAlign w:val="center"/>
          </w:tcPr>
          <w:p>
            <w:pPr>
              <w:widowControl/>
              <w:spacing w:line="360" w:lineRule="auto"/>
              <w:jc w:val="center"/>
              <w:rPr>
                <w:rFonts w:ascii="仿宋" w:hAnsi="仿宋" w:eastAsia="仿宋" w:cs="仿宋"/>
                <w:b/>
                <w:szCs w:val="21"/>
              </w:rPr>
            </w:pPr>
            <w:r>
              <w:rPr>
                <w:rFonts w:hint="eastAsia" w:ascii="仿宋" w:hAnsi="仿宋" w:eastAsia="仿宋" w:cs="仿宋"/>
              </w:rPr>
              <w:t>履行法定义务等信息</w:t>
            </w:r>
          </w:p>
        </w:tc>
        <w:tc>
          <w:tcPr>
            <w:tcW w:w="2972" w:type="dxa"/>
            <w:vAlign w:val="center"/>
          </w:tcPr>
          <w:p>
            <w:pPr>
              <w:widowControl/>
              <w:spacing w:line="360" w:lineRule="auto"/>
              <w:jc w:val="center"/>
              <w:rPr>
                <w:rFonts w:ascii="仿宋" w:hAnsi="仿宋" w:eastAsia="仿宋" w:cs="仿宋"/>
              </w:rPr>
            </w:pPr>
            <w:r>
              <w:rPr>
                <w:rFonts w:hint="eastAsia" w:ascii="仿宋" w:hAnsi="仿宋" w:eastAsia="仿宋" w:cs="仿宋"/>
              </w:rPr>
              <w:t>4006796110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9.</w:t>
            </w:r>
          </w:p>
        </w:tc>
        <w:tc>
          <w:tcPr>
            <w:tcW w:w="1950" w:type="dxa"/>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color w:val="000000"/>
                <w:kern w:val="0"/>
                <w:szCs w:val="21"/>
                <w:lang w:bidi="ar"/>
              </w:rPr>
              <w:t>北京中盾安信科技发展有限公司</w:t>
            </w:r>
          </w:p>
        </w:tc>
        <w:tc>
          <w:tcPr>
            <w:tcW w:w="2112" w:type="dxa"/>
            <w:vAlign w:val="center"/>
          </w:tcPr>
          <w:p>
            <w:pPr>
              <w:widowControl/>
              <w:spacing w:line="360" w:lineRule="auto"/>
              <w:jc w:val="center"/>
              <w:rPr>
                <w:rFonts w:ascii="仿宋" w:hAnsi="仿宋" w:eastAsia="仿宋" w:cs="仿宋"/>
                <w:szCs w:val="21"/>
              </w:rPr>
            </w:pPr>
            <w:r>
              <w:rPr>
                <w:rFonts w:hint="eastAsia" w:ascii="仿宋" w:hAnsi="仿宋" w:eastAsia="仿宋" w:cs="仿宋"/>
              </w:rPr>
              <w:t>基础核验</w:t>
            </w:r>
          </w:p>
        </w:tc>
        <w:tc>
          <w:tcPr>
            <w:tcW w:w="2972" w:type="dxa"/>
            <w:vAlign w:val="center"/>
          </w:tcPr>
          <w:p>
            <w:pPr>
              <w:widowControl/>
              <w:spacing w:line="360" w:lineRule="auto"/>
              <w:jc w:val="center"/>
              <w:rPr>
                <w:rFonts w:ascii="仿宋" w:hAnsi="仿宋" w:eastAsia="仿宋" w:cs="仿宋"/>
              </w:rPr>
            </w:pPr>
            <w:r>
              <w:rPr>
                <w:rFonts w:hint="eastAsia" w:ascii="仿宋" w:hAnsi="仿宋" w:eastAsia="仿宋" w:cs="仿宋"/>
              </w:rPr>
              <w:t>www.anicert.cn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10.</w:t>
            </w:r>
          </w:p>
        </w:tc>
        <w:tc>
          <w:tcPr>
            <w:tcW w:w="1950" w:type="dxa"/>
            <w:vAlign w:val="center"/>
          </w:tcPr>
          <w:p>
            <w:pPr>
              <w:widowControl/>
              <w:spacing w:line="360"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中国金融认证中心</w:t>
            </w:r>
          </w:p>
        </w:tc>
        <w:tc>
          <w:tcPr>
            <w:tcW w:w="2112" w:type="dxa"/>
          </w:tcPr>
          <w:p>
            <w:pPr>
              <w:widowControl/>
              <w:spacing w:line="360" w:lineRule="auto"/>
              <w:jc w:val="center"/>
              <w:rPr>
                <w:rFonts w:ascii="仿宋" w:hAnsi="仿宋" w:eastAsia="仿宋" w:cs="仿宋"/>
              </w:rPr>
            </w:pPr>
            <w:r>
              <w:rPr>
                <w:rFonts w:hint="eastAsia" w:ascii="仿宋" w:hAnsi="仿宋" w:eastAsia="仿宋" w:cs="仿宋"/>
              </w:rPr>
              <w:t>个人身份</w:t>
            </w:r>
          </w:p>
        </w:tc>
        <w:tc>
          <w:tcPr>
            <w:tcW w:w="2972" w:type="dxa"/>
          </w:tcPr>
          <w:p>
            <w:pPr>
              <w:widowControl/>
              <w:spacing w:line="360" w:lineRule="auto"/>
              <w:jc w:val="center"/>
              <w:rPr>
                <w:rFonts w:ascii="仿宋" w:hAnsi="仿宋" w:eastAsia="仿宋" w:cs="仿宋"/>
              </w:rPr>
            </w:pPr>
            <w:r>
              <w:rPr>
                <w:rFonts w:hint="eastAsia" w:ascii="仿宋" w:hAnsi="仿宋" w:eastAsia="仿宋" w:cs="仿宋"/>
              </w:rPr>
              <w:t>400-880-9888</w:t>
            </w:r>
          </w:p>
        </w:tc>
      </w:tr>
    </w:tbl>
    <w:p>
      <w:pPr>
        <w:widowControl/>
        <w:rPr>
          <w:rFonts w:ascii="仿宋" w:hAnsi="仿宋" w:eastAsia="仿宋" w:cs="仿宋"/>
          <w:b/>
          <w:szCs w:val="21"/>
        </w:rPr>
      </w:pPr>
    </w:p>
    <w:p>
      <w:pPr>
        <w:widowControl/>
        <w:rPr>
          <w:rFonts w:ascii="仿宋" w:hAnsi="仿宋" w:eastAsia="仿宋" w:cs="仿宋"/>
          <w:b/>
          <w:szCs w:val="21"/>
        </w:rPr>
      </w:pPr>
    </w:p>
    <w:p>
      <w:pPr>
        <w:rPr>
          <w:rFonts w:ascii="仿宋" w:hAnsi="仿宋" w:eastAsia="仿宋" w:cs="仿宋"/>
          <w:b/>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681098"/>
    </w:sdtPr>
    <w:sdtContent>
      <w:sdt>
        <w:sdtPr>
          <w:id w:val="-1"/>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OTk5N2M0MDkwZTZhMDIwOGNjZTRhNjJkYmI2ZTYifQ=="/>
  </w:docVars>
  <w:rsids>
    <w:rsidRoot w:val="00F70109"/>
    <w:rsid w:val="00003837"/>
    <w:rsid w:val="000207DC"/>
    <w:rsid w:val="00026D9D"/>
    <w:rsid w:val="00057A83"/>
    <w:rsid w:val="000621AD"/>
    <w:rsid w:val="000727B7"/>
    <w:rsid w:val="0007346B"/>
    <w:rsid w:val="000B38C0"/>
    <w:rsid w:val="000C0DA8"/>
    <w:rsid w:val="000C14E9"/>
    <w:rsid w:val="000C63E8"/>
    <w:rsid w:val="000D0318"/>
    <w:rsid w:val="000D7BA3"/>
    <w:rsid w:val="000E49CB"/>
    <w:rsid w:val="000F42F2"/>
    <w:rsid w:val="001149D0"/>
    <w:rsid w:val="00123ACA"/>
    <w:rsid w:val="00145920"/>
    <w:rsid w:val="001477FE"/>
    <w:rsid w:val="00147E31"/>
    <w:rsid w:val="00155DA6"/>
    <w:rsid w:val="00174CFB"/>
    <w:rsid w:val="001779E8"/>
    <w:rsid w:val="0019464A"/>
    <w:rsid w:val="001A619F"/>
    <w:rsid w:val="001B1CA4"/>
    <w:rsid w:val="001B4686"/>
    <w:rsid w:val="001C01FC"/>
    <w:rsid w:val="001E067A"/>
    <w:rsid w:val="001E6344"/>
    <w:rsid w:val="001F2974"/>
    <w:rsid w:val="001F35E5"/>
    <w:rsid w:val="001F79C8"/>
    <w:rsid w:val="00202A43"/>
    <w:rsid w:val="00212639"/>
    <w:rsid w:val="00224D4D"/>
    <w:rsid w:val="00233A20"/>
    <w:rsid w:val="00243064"/>
    <w:rsid w:val="00250F2D"/>
    <w:rsid w:val="00266514"/>
    <w:rsid w:val="00275DA2"/>
    <w:rsid w:val="0028123D"/>
    <w:rsid w:val="0029328D"/>
    <w:rsid w:val="002A18E8"/>
    <w:rsid w:val="002A78C1"/>
    <w:rsid w:val="002C7828"/>
    <w:rsid w:val="002D097E"/>
    <w:rsid w:val="002E48AB"/>
    <w:rsid w:val="002E6B23"/>
    <w:rsid w:val="00302BFA"/>
    <w:rsid w:val="00304934"/>
    <w:rsid w:val="00304FC7"/>
    <w:rsid w:val="003066BF"/>
    <w:rsid w:val="0031299C"/>
    <w:rsid w:val="00315F64"/>
    <w:rsid w:val="003252BB"/>
    <w:rsid w:val="003334B0"/>
    <w:rsid w:val="003437CC"/>
    <w:rsid w:val="003539A7"/>
    <w:rsid w:val="003600D2"/>
    <w:rsid w:val="00363A86"/>
    <w:rsid w:val="00375004"/>
    <w:rsid w:val="00381113"/>
    <w:rsid w:val="00381B6E"/>
    <w:rsid w:val="00385315"/>
    <w:rsid w:val="0039108E"/>
    <w:rsid w:val="00393C93"/>
    <w:rsid w:val="003A08E7"/>
    <w:rsid w:val="003A2F91"/>
    <w:rsid w:val="003A4630"/>
    <w:rsid w:val="003C1F16"/>
    <w:rsid w:val="003C3115"/>
    <w:rsid w:val="003D3BDC"/>
    <w:rsid w:val="003D6542"/>
    <w:rsid w:val="003E1782"/>
    <w:rsid w:val="003F4394"/>
    <w:rsid w:val="004017FE"/>
    <w:rsid w:val="0042193B"/>
    <w:rsid w:val="00421A30"/>
    <w:rsid w:val="00422EA1"/>
    <w:rsid w:val="004269A3"/>
    <w:rsid w:val="00440E12"/>
    <w:rsid w:val="00442418"/>
    <w:rsid w:val="00444B72"/>
    <w:rsid w:val="00456CDC"/>
    <w:rsid w:val="004712BC"/>
    <w:rsid w:val="004811BF"/>
    <w:rsid w:val="00494E33"/>
    <w:rsid w:val="004A0316"/>
    <w:rsid w:val="004A4A86"/>
    <w:rsid w:val="004A693D"/>
    <w:rsid w:val="004D33B2"/>
    <w:rsid w:val="004D7C2B"/>
    <w:rsid w:val="004E048F"/>
    <w:rsid w:val="004E17C9"/>
    <w:rsid w:val="004F437A"/>
    <w:rsid w:val="00504866"/>
    <w:rsid w:val="0052465D"/>
    <w:rsid w:val="0052538C"/>
    <w:rsid w:val="00535F47"/>
    <w:rsid w:val="00544F20"/>
    <w:rsid w:val="005819AD"/>
    <w:rsid w:val="005916EB"/>
    <w:rsid w:val="00592021"/>
    <w:rsid w:val="005A2AB7"/>
    <w:rsid w:val="005C2412"/>
    <w:rsid w:val="005C7528"/>
    <w:rsid w:val="005D3B7F"/>
    <w:rsid w:val="005E303B"/>
    <w:rsid w:val="005E5227"/>
    <w:rsid w:val="005E7AC7"/>
    <w:rsid w:val="005F3BBF"/>
    <w:rsid w:val="00603976"/>
    <w:rsid w:val="00611167"/>
    <w:rsid w:val="006146E3"/>
    <w:rsid w:val="00637639"/>
    <w:rsid w:val="00641F56"/>
    <w:rsid w:val="00643643"/>
    <w:rsid w:val="00654F4A"/>
    <w:rsid w:val="0065647C"/>
    <w:rsid w:val="00657256"/>
    <w:rsid w:val="00660E17"/>
    <w:rsid w:val="00663619"/>
    <w:rsid w:val="006746FE"/>
    <w:rsid w:val="00677E3F"/>
    <w:rsid w:val="0068321E"/>
    <w:rsid w:val="0068572D"/>
    <w:rsid w:val="006926D7"/>
    <w:rsid w:val="00695E65"/>
    <w:rsid w:val="006A2D8F"/>
    <w:rsid w:val="006C433B"/>
    <w:rsid w:val="006D076B"/>
    <w:rsid w:val="006E040F"/>
    <w:rsid w:val="006E678B"/>
    <w:rsid w:val="00706FB7"/>
    <w:rsid w:val="00707CB6"/>
    <w:rsid w:val="00737443"/>
    <w:rsid w:val="007455B7"/>
    <w:rsid w:val="007474EF"/>
    <w:rsid w:val="0075131C"/>
    <w:rsid w:val="007539BB"/>
    <w:rsid w:val="00754715"/>
    <w:rsid w:val="007614A9"/>
    <w:rsid w:val="00770DEA"/>
    <w:rsid w:val="00773E98"/>
    <w:rsid w:val="00775E04"/>
    <w:rsid w:val="00777F3C"/>
    <w:rsid w:val="00796A4E"/>
    <w:rsid w:val="007B04D1"/>
    <w:rsid w:val="007B7B09"/>
    <w:rsid w:val="007C12B3"/>
    <w:rsid w:val="007D4D98"/>
    <w:rsid w:val="007D595C"/>
    <w:rsid w:val="007F4659"/>
    <w:rsid w:val="007F6A53"/>
    <w:rsid w:val="00807886"/>
    <w:rsid w:val="00810553"/>
    <w:rsid w:val="00810D14"/>
    <w:rsid w:val="00812553"/>
    <w:rsid w:val="00813146"/>
    <w:rsid w:val="00814077"/>
    <w:rsid w:val="008377BF"/>
    <w:rsid w:val="0087600A"/>
    <w:rsid w:val="00880B90"/>
    <w:rsid w:val="00897C5B"/>
    <w:rsid w:val="008A1BC7"/>
    <w:rsid w:val="008B36B8"/>
    <w:rsid w:val="008C1502"/>
    <w:rsid w:val="008C397C"/>
    <w:rsid w:val="008C7CFB"/>
    <w:rsid w:val="008D0E2B"/>
    <w:rsid w:val="008D7131"/>
    <w:rsid w:val="008E10D2"/>
    <w:rsid w:val="008F4E84"/>
    <w:rsid w:val="00900682"/>
    <w:rsid w:val="009009CE"/>
    <w:rsid w:val="00901503"/>
    <w:rsid w:val="0091443F"/>
    <w:rsid w:val="009231E8"/>
    <w:rsid w:val="00923CA3"/>
    <w:rsid w:val="00924603"/>
    <w:rsid w:val="009360FB"/>
    <w:rsid w:val="00942A85"/>
    <w:rsid w:val="00951D4E"/>
    <w:rsid w:val="00966760"/>
    <w:rsid w:val="0097598C"/>
    <w:rsid w:val="00984450"/>
    <w:rsid w:val="0099305A"/>
    <w:rsid w:val="009A0777"/>
    <w:rsid w:val="009A460B"/>
    <w:rsid w:val="009A5547"/>
    <w:rsid w:val="009A5D91"/>
    <w:rsid w:val="009B2FFF"/>
    <w:rsid w:val="009B4E69"/>
    <w:rsid w:val="009C6FD9"/>
    <w:rsid w:val="009E40DF"/>
    <w:rsid w:val="009F022D"/>
    <w:rsid w:val="00A0001E"/>
    <w:rsid w:val="00A038AE"/>
    <w:rsid w:val="00A23501"/>
    <w:rsid w:val="00A26E44"/>
    <w:rsid w:val="00A338F6"/>
    <w:rsid w:val="00A3434A"/>
    <w:rsid w:val="00A41741"/>
    <w:rsid w:val="00A56F0C"/>
    <w:rsid w:val="00A72D13"/>
    <w:rsid w:val="00A82322"/>
    <w:rsid w:val="00A87202"/>
    <w:rsid w:val="00AB6508"/>
    <w:rsid w:val="00AC325C"/>
    <w:rsid w:val="00AD002B"/>
    <w:rsid w:val="00AE01CD"/>
    <w:rsid w:val="00AF17DB"/>
    <w:rsid w:val="00B0120B"/>
    <w:rsid w:val="00B071E3"/>
    <w:rsid w:val="00B1193D"/>
    <w:rsid w:val="00B14377"/>
    <w:rsid w:val="00B14ACA"/>
    <w:rsid w:val="00B3045A"/>
    <w:rsid w:val="00B40681"/>
    <w:rsid w:val="00B47438"/>
    <w:rsid w:val="00B70C5A"/>
    <w:rsid w:val="00B80ADB"/>
    <w:rsid w:val="00B84686"/>
    <w:rsid w:val="00BA6240"/>
    <w:rsid w:val="00BB1764"/>
    <w:rsid w:val="00BC3C5E"/>
    <w:rsid w:val="00BC432F"/>
    <w:rsid w:val="00BC7CCF"/>
    <w:rsid w:val="00BE0C1E"/>
    <w:rsid w:val="00BE21D2"/>
    <w:rsid w:val="00BE2384"/>
    <w:rsid w:val="00C066C7"/>
    <w:rsid w:val="00C16094"/>
    <w:rsid w:val="00C27FD1"/>
    <w:rsid w:val="00C344DE"/>
    <w:rsid w:val="00C41140"/>
    <w:rsid w:val="00C462E8"/>
    <w:rsid w:val="00C504D3"/>
    <w:rsid w:val="00C778EB"/>
    <w:rsid w:val="00C96B47"/>
    <w:rsid w:val="00CB2243"/>
    <w:rsid w:val="00CB5585"/>
    <w:rsid w:val="00CC25D3"/>
    <w:rsid w:val="00CC7F8C"/>
    <w:rsid w:val="00CD0D51"/>
    <w:rsid w:val="00CE2F24"/>
    <w:rsid w:val="00D25681"/>
    <w:rsid w:val="00D33291"/>
    <w:rsid w:val="00D3692E"/>
    <w:rsid w:val="00D45ECE"/>
    <w:rsid w:val="00D50586"/>
    <w:rsid w:val="00D52131"/>
    <w:rsid w:val="00D7595B"/>
    <w:rsid w:val="00D76963"/>
    <w:rsid w:val="00D80D42"/>
    <w:rsid w:val="00D87335"/>
    <w:rsid w:val="00DA4D42"/>
    <w:rsid w:val="00DA5C66"/>
    <w:rsid w:val="00DB6E4E"/>
    <w:rsid w:val="00DC2B1D"/>
    <w:rsid w:val="00DC4F46"/>
    <w:rsid w:val="00DF7C3C"/>
    <w:rsid w:val="00E13123"/>
    <w:rsid w:val="00E1432F"/>
    <w:rsid w:val="00E2620A"/>
    <w:rsid w:val="00E329E5"/>
    <w:rsid w:val="00E46705"/>
    <w:rsid w:val="00E57132"/>
    <w:rsid w:val="00E7402A"/>
    <w:rsid w:val="00E77224"/>
    <w:rsid w:val="00E93EA0"/>
    <w:rsid w:val="00EB0BDE"/>
    <w:rsid w:val="00EC3270"/>
    <w:rsid w:val="00EC4A7B"/>
    <w:rsid w:val="00EC5200"/>
    <w:rsid w:val="00EF5A58"/>
    <w:rsid w:val="00F1417A"/>
    <w:rsid w:val="00F20131"/>
    <w:rsid w:val="00F356D8"/>
    <w:rsid w:val="00F35FEC"/>
    <w:rsid w:val="00F52C8B"/>
    <w:rsid w:val="00F60823"/>
    <w:rsid w:val="00F65EC7"/>
    <w:rsid w:val="00F67910"/>
    <w:rsid w:val="00F70109"/>
    <w:rsid w:val="00FA5560"/>
    <w:rsid w:val="00FB4BD3"/>
    <w:rsid w:val="00FB538A"/>
    <w:rsid w:val="00FB73EE"/>
    <w:rsid w:val="00FD33F8"/>
    <w:rsid w:val="00FD584C"/>
    <w:rsid w:val="00FE07F8"/>
    <w:rsid w:val="05EB7A9F"/>
    <w:rsid w:val="08A32BEC"/>
    <w:rsid w:val="09F53659"/>
    <w:rsid w:val="0A7C6626"/>
    <w:rsid w:val="116A14FE"/>
    <w:rsid w:val="131A2357"/>
    <w:rsid w:val="16393903"/>
    <w:rsid w:val="16DD015B"/>
    <w:rsid w:val="17B266E4"/>
    <w:rsid w:val="1AF17A9E"/>
    <w:rsid w:val="1B42749E"/>
    <w:rsid w:val="212B3A51"/>
    <w:rsid w:val="218B38D5"/>
    <w:rsid w:val="23CE09D0"/>
    <w:rsid w:val="28E45F39"/>
    <w:rsid w:val="2B59145A"/>
    <w:rsid w:val="2E4E4330"/>
    <w:rsid w:val="2F865778"/>
    <w:rsid w:val="31E92BA7"/>
    <w:rsid w:val="32B650F8"/>
    <w:rsid w:val="33332AF2"/>
    <w:rsid w:val="354978ED"/>
    <w:rsid w:val="37F50180"/>
    <w:rsid w:val="3836156B"/>
    <w:rsid w:val="39A10E83"/>
    <w:rsid w:val="3C571A1C"/>
    <w:rsid w:val="3EDB5635"/>
    <w:rsid w:val="404A3A0A"/>
    <w:rsid w:val="41AC50DD"/>
    <w:rsid w:val="43CF207C"/>
    <w:rsid w:val="4CF814A7"/>
    <w:rsid w:val="4D2C27FC"/>
    <w:rsid w:val="505D3590"/>
    <w:rsid w:val="52FA293B"/>
    <w:rsid w:val="53952955"/>
    <w:rsid w:val="566E7753"/>
    <w:rsid w:val="5A974120"/>
    <w:rsid w:val="5B023598"/>
    <w:rsid w:val="5C047F75"/>
    <w:rsid w:val="5C3500F7"/>
    <w:rsid w:val="5D557CB0"/>
    <w:rsid w:val="5F5E43BB"/>
    <w:rsid w:val="60624EDA"/>
    <w:rsid w:val="60F85C99"/>
    <w:rsid w:val="61AA2A69"/>
    <w:rsid w:val="65AB6FD8"/>
    <w:rsid w:val="68980447"/>
    <w:rsid w:val="738D5CF5"/>
    <w:rsid w:val="76C71362"/>
    <w:rsid w:val="77DC58E9"/>
    <w:rsid w:val="79341B0D"/>
    <w:rsid w:val="7BB405F3"/>
    <w:rsid w:val="7C0532BE"/>
    <w:rsid w:val="7F8D761E"/>
    <w:rsid w:val="CFFFFF7E"/>
    <w:rsid w:val="E6ED0CD2"/>
    <w:rsid w:val="E7DFAAC9"/>
    <w:rsid w:val="EBF9B587"/>
    <w:rsid w:val="F5E29F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qFormat/>
    <w:uiPriority w:val="99"/>
    <w:pPr>
      <w:jc w:val="left"/>
    </w:pPr>
  </w:style>
  <w:style w:type="paragraph" w:styleId="3">
    <w:name w:val="Balloon Text"/>
    <w:basedOn w:val="1"/>
    <w:link w:val="16"/>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8"/>
    <w:semiHidden/>
    <w:qFormat/>
    <w:uiPriority w:val="99"/>
    <w:rPr>
      <w:b/>
      <w:bCs/>
    </w:rPr>
  </w:style>
  <w:style w:type="table" w:styleId="9">
    <w:name w:val="Table Grid"/>
    <w:basedOn w:val="8"/>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qFormat/>
    <w:uiPriority w:val="99"/>
    <w:rPr>
      <w:rFonts w:cs="Times New Roman"/>
      <w:sz w:val="21"/>
      <w:szCs w:val="21"/>
    </w:rPr>
  </w:style>
  <w:style w:type="character" w:customStyle="1" w:styleId="13">
    <w:name w:val="页眉 字符"/>
    <w:basedOn w:val="10"/>
    <w:link w:val="5"/>
    <w:qFormat/>
    <w:locked/>
    <w:uiPriority w:val="99"/>
    <w:rPr>
      <w:rFonts w:cs="Times New Roman"/>
      <w:sz w:val="18"/>
      <w:szCs w:val="18"/>
    </w:rPr>
  </w:style>
  <w:style w:type="character" w:customStyle="1" w:styleId="14">
    <w:name w:val="页脚 字符"/>
    <w:basedOn w:val="10"/>
    <w:link w:val="4"/>
    <w:qFormat/>
    <w:locked/>
    <w:uiPriority w:val="99"/>
    <w:rPr>
      <w:rFonts w:cs="Times New Roman"/>
      <w:sz w:val="18"/>
      <w:szCs w:val="18"/>
    </w:rPr>
  </w:style>
  <w:style w:type="paragraph" w:styleId="15">
    <w:name w:val="List Paragraph"/>
    <w:basedOn w:val="1"/>
    <w:qFormat/>
    <w:uiPriority w:val="99"/>
    <w:pPr>
      <w:ind w:firstLine="420" w:firstLineChars="200"/>
    </w:pPr>
  </w:style>
  <w:style w:type="character" w:customStyle="1" w:styleId="16">
    <w:name w:val="批注框文本 字符"/>
    <w:basedOn w:val="10"/>
    <w:link w:val="3"/>
    <w:semiHidden/>
    <w:qFormat/>
    <w:locked/>
    <w:uiPriority w:val="99"/>
    <w:rPr>
      <w:rFonts w:cs="Times New Roman"/>
      <w:sz w:val="18"/>
      <w:szCs w:val="18"/>
    </w:rPr>
  </w:style>
  <w:style w:type="character" w:customStyle="1" w:styleId="17">
    <w:name w:val="批注文字 字符"/>
    <w:basedOn w:val="10"/>
    <w:link w:val="2"/>
    <w:semiHidden/>
    <w:qFormat/>
    <w:locked/>
    <w:uiPriority w:val="99"/>
    <w:rPr>
      <w:rFonts w:cs="Times New Roman"/>
    </w:rPr>
  </w:style>
  <w:style w:type="character" w:customStyle="1" w:styleId="18">
    <w:name w:val="批注主题 字符"/>
    <w:basedOn w:val="17"/>
    <w:link w:val="7"/>
    <w:semiHidden/>
    <w:qFormat/>
    <w:locked/>
    <w:uiPriority w:val="99"/>
    <w:rPr>
      <w:rFonts w:cs="Times New Roman"/>
      <w:b/>
      <w:bCs/>
    </w:rPr>
  </w:style>
  <w:style w:type="paragraph" w:customStyle="1" w:styleId="19">
    <w:name w:val="修订1"/>
    <w:hidden/>
    <w:semiHidden/>
    <w:qFormat/>
    <w:uiPriority w:val="99"/>
    <w:rPr>
      <w:rFonts w:ascii="Calibri" w:hAnsi="Calibri" w:eastAsia="宋体" w:cs="Times New Roman"/>
      <w:kern w:val="2"/>
      <w:sz w:val="21"/>
      <w:szCs w:val="22"/>
      <w:lang w:val="en-US" w:eastAsia="zh-CN" w:bidi="ar-SA"/>
    </w:rPr>
  </w:style>
  <w:style w:type="paragraph" w:customStyle="1" w:styleId="20">
    <w:name w:val="修订2"/>
    <w:hidden/>
    <w:unhideWhenUsed/>
    <w:qFormat/>
    <w:uiPriority w:val="99"/>
    <w:rPr>
      <w:rFonts w:ascii="Calibri" w:hAnsi="Calibri" w:eastAsia="宋体" w:cs="Times New Roman"/>
      <w:kern w:val="2"/>
      <w:sz w:val="21"/>
      <w:szCs w:val="22"/>
      <w:lang w:val="en-US" w:eastAsia="zh-CN" w:bidi="ar-SA"/>
    </w:rPr>
  </w:style>
  <w:style w:type="paragraph" w:customStyle="1" w:styleId="21">
    <w:name w:val="修订21"/>
    <w:hidden/>
    <w:semiHidden/>
    <w:qFormat/>
    <w:uiPriority w:val="99"/>
    <w:rPr>
      <w:rFonts w:ascii="Calibri" w:hAnsi="Calibri" w:eastAsia="宋体" w:cs="Times New Roman"/>
      <w:kern w:val="2"/>
      <w:sz w:val="21"/>
      <w:szCs w:val="22"/>
      <w:lang w:val="en-US" w:eastAsia="zh-CN" w:bidi="ar-SA"/>
    </w:rPr>
  </w:style>
  <w:style w:type="paragraph" w:customStyle="1" w:styleId="22">
    <w:name w:val="修订3"/>
    <w:hidden/>
    <w:semiHidden/>
    <w:qFormat/>
    <w:uiPriority w:val="99"/>
    <w:rPr>
      <w:rFonts w:ascii="Calibri" w:hAnsi="Calibri" w:eastAsia="宋体" w:cs="Times New Roman"/>
      <w:kern w:val="2"/>
      <w:sz w:val="21"/>
      <w:szCs w:val="22"/>
      <w:lang w:val="en-US" w:eastAsia="zh-CN" w:bidi="ar-SA"/>
    </w:rPr>
  </w:style>
  <w:style w:type="character" w:customStyle="1" w:styleId="23">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edianzu.cn</Company>
  <Pages>5</Pages>
  <Words>3266</Words>
  <Characters>3416</Characters>
  <Lines>25</Lines>
  <Paragraphs>7</Paragraphs>
  <TotalTime>20</TotalTime>
  <ScaleCrop>false</ScaleCrop>
  <LinksUpToDate>false</LinksUpToDate>
  <CharactersWithSpaces>3475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2023-09-29T09:57:00Z</dcterms:created>
  <dc:creator>china</dc:creator>
  <cp:lastModifiedBy>gcb</cp:lastModifiedBy>
  <cp:lastPrinted>2022-03-26T11:52:00Z</cp:lastPrinted>
  <dcterms:modified xsi:type="dcterms:W3CDTF">2025-05-29T13:08:34Z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89D1FDC1CBA84C1AB3CDE88B0B3C08D7</vt:lpwstr>
  </property>
  <property fmtid="{D5CDD505-2E9C-101B-9397-08002B2CF9AE}" pid="4" name="KSOTemplateDocerSaveRecord">
    <vt:lpwstr>eyJoZGlkIjoiZmYwNDEyMDMyMWU3ZWQyNWU0ZTI4Njk4ZTdjOWRlZGUiLCJ1c2VySWQiOiIzNjU4NjMwNTMifQ==</vt:lpwstr>
  </property>
</Properties>
</file>